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FA4EAF" w:rsidRDefault="0094424E" w:rsidP="0094424E">
      <w:pPr>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E962E3">
            <w:pPr>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pPr>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אילן דפדי</w:t>
                </w:r>
              </w:sdtContent>
            </w:sdt>
          </w:p>
          <w:p w:rsidR="0094424E" w:rsidRPr="00FA4EAF" w:rsidRDefault="0094424E">
            <w:pPr>
              <w:rPr>
                <w:rFonts w:ascii="Arial" w:hAnsi="Arial" w:cs="FrankRuehl"/>
                <w:sz w:val="26"/>
                <w:szCs w:val="26"/>
                <w:highlight w:val="yellow"/>
              </w:rPr>
            </w:pPr>
          </w:p>
        </w:tc>
      </w:tr>
      <w:tr w:rsidR="0094424E" w:rsidRPr="00FA4EAF" w:rsidTr="00465D36">
        <w:trPr>
          <w:jc w:val="center"/>
        </w:trPr>
        <w:tc>
          <w:tcPr>
            <w:tcW w:w="3249" w:type="dxa"/>
            <w:gridSpan w:val="2"/>
          </w:tcPr>
          <w:p w:rsidR="0094424E" w:rsidRPr="00FA4EAF" w:rsidRDefault="0094424E" w:rsidP="00465D36">
            <w:pPr>
              <w:rPr>
                <w:rFonts w:ascii="Arial" w:hAnsi="Arial"/>
                <w:b/>
                <w:bCs/>
                <w:noProof w:val="0"/>
                <w:sz w:val="26"/>
                <w:szCs w:val="26"/>
              </w:rPr>
            </w:pPr>
          </w:p>
          <w:sdt>
            <w:sdtPr>
              <w:rPr>
                <w:sz w:val="26"/>
                <w:szCs w:val="26"/>
                <w:rtl/>
              </w:rPr>
              <w:alias w:val="1180"/>
              <w:tag w:val="1180"/>
              <w:id w:val="637458750"/>
              <w:text w:multiLine="1"/>
            </w:sdtPr>
            <w:sdtEndPr/>
            <w:sdtContent>
              <w:p w:rsidR="00A47358" w:rsidRDefault="00811A9E" w:rsidP="009771F0">
                <w:pPr>
                  <w:rPr>
                    <w:rFonts w:ascii="Arial" w:hAnsi="Arial"/>
                    <w:b/>
                    <w:bCs/>
                    <w:noProof w:val="0"/>
                    <w:sz w:val="26"/>
                    <w:szCs w:val="26"/>
                    <w:rtl/>
                  </w:rPr>
                </w:pPr>
                <w:r>
                  <w:rPr>
                    <w:rFonts w:ascii="Arial" w:hAnsi="Arial"/>
                    <w:b/>
                    <w:bCs/>
                    <w:noProof w:val="0"/>
                    <w:sz w:val="26"/>
                    <w:szCs w:val="26"/>
                    <w:rtl/>
                  </w:rPr>
                  <w:t>מערער</w:t>
                </w:r>
                <w:r w:rsidR="009771F0">
                  <w:rPr>
                    <w:rFonts w:ascii="Arial" w:hAnsi="Arial" w:hint="cs"/>
                    <w:b/>
                    <w:bCs/>
                    <w:noProof w:val="0"/>
                    <w:sz w:val="26"/>
                    <w:szCs w:val="26"/>
                    <w:rtl/>
                  </w:rPr>
                  <w:t>ת</w:t>
                </w:r>
              </w:p>
            </w:sdtContent>
          </w:sdt>
        </w:tc>
        <w:tc>
          <w:tcPr>
            <w:tcW w:w="5571" w:type="dxa"/>
          </w:tcPr>
          <w:p w:rsidR="0094424E" w:rsidRPr="00FA4EAF" w:rsidRDefault="0094424E">
            <w:pPr>
              <w:rPr>
                <w:rFonts w:ascii="Arial" w:hAnsi="Arial"/>
                <w:b/>
                <w:bCs/>
                <w:noProof w:val="0"/>
                <w:sz w:val="26"/>
                <w:szCs w:val="26"/>
                <w:rtl/>
              </w:rPr>
            </w:pPr>
          </w:p>
          <w:p w:rsidR="003763AB" w:rsidRDefault="00DF6C6B">
            <w:pPr>
              <w:rPr>
                <w:sz w:val="26"/>
                <w:szCs w:val="26"/>
                <w:rtl/>
              </w:rPr>
            </w:pPr>
            <w:sdt>
              <w:sdtPr>
                <w:rPr>
                  <w:sz w:val="26"/>
                  <w:szCs w:val="26"/>
                  <w:rtl/>
                </w:rPr>
                <w:alias w:val="1478"/>
                <w:tag w:val="1478"/>
                <w:id w:val="-2076122985"/>
                <w:text w:multiLine="1"/>
              </w:sdtPr>
              <w:sdtEndPr/>
              <w:sdtContent>
                <w:r w:rsidR="001F5DB6">
                  <w:rPr>
                    <w:rFonts w:ascii="Arial" w:hAnsi="Arial"/>
                    <w:b/>
                    <w:bCs/>
                    <w:noProof w:val="0"/>
                    <w:sz w:val="26"/>
                    <w:szCs w:val="26"/>
                    <w:rtl/>
                  </w:rPr>
                  <w:t>שושנה אמיר</w:t>
                </w:r>
              </w:sdtContent>
            </w:sdt>
          </w:p>
          <w:p w:rsidR="0094424E" w:rsidRPr="00FA4EAF" w:rsidRDefault="001D3441">
            <w:pPr>
              <w:rPr>
                <w:b/>
                <w:bCs/>
                <w:noProof w:val="0"/>
                <w:sz w:val="26"/>
                <w:szCs w:val="26"/>
              </w:rPr>
            </w:pPr>
            <w:r w:rsidRPr="009771F0">
              <w:rPr>
                <w:rFonts w:hint="cs"/>
                <w:b/>
                <w:bCs/>
                <w:sz w:val="26"/>
                <w:szCs w:val="26"/>
                <w:rtl/>
              </w:rPr>
              <w:t>ע"י ב"כ עו"ד</w:t>
            </w:r>
            <w:r w:rsidR="009771F0">
              <w:rPr>
                <w:rFonts w:hint="cs"/>
                <w:b/>
                <w:bCs/>
                <w:noProof w:val="0"/>
                <w:sz w:val="26"/>
                <w:szCs w:val="26"/>
                <w:rtl/>
              </w:rPr>
              <w:t xml:space="preserve"> עמיר סגל</w:t>
            </w:r>
          </w:p>
        </w:tc>
      </w:tr>
      <w:tr w:rsidR="0094424E" w:rsidRPr="00FA4EAF">
        <w:trPr>
          <w:jc w:val="center"/>
        </w:trPr>
        <w:tc>
          <w:tcPr>
            <w:tcW w:w="8820" w:type="dxa"/>
            <w:gridSpan w:val="3"/>
          </w:tcPr>
          <w:p w:rsidR="0094424E" w:rsidRPr="00FA4EAF" w:rsidRDefault="0094424E">
            <w:pPr>
              <w:rPr>
                <w:rFonts w:ascii="Arial" w:hAnsi="Arial"/>
                <w:b/>
                <w:bCs/>
                <w:noProof w:val="0"/>
                <w:sz w:val="26"/>
                <w:szCs w:val="26"/>
                <w:rtl/>
              </w:rPr>
            </w:pPr>
          </w:p>
          <w:p w:rsidR="0094424E" w:rsidRPr="00FA4EAF" w:rsidRDefault="0094424E">
            <w:pPr>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pPr>
              <w:rPr>
                <w:rFonts w:ascii="Arial" w:hAnsi="Arial"/>
                <w:b/>
                <w:bCs/>
                <w:noProof w:val="0"/>
                <w:sz w:val="26"/>
                <w:szCs w:val="26"/>
              </w:rPr>
            </w:pPr>
          </w:p>
        </w:tc>
      </w:tr>
      <w:tr w:rsidR="0094424E" w:rsidRPr="00FA4EAF">
        <w:trPr>
          <w:jc w:val="center"/>
        </w:trPr>
        <w:tc>
          <w:tcPr>
            <w:tcW w:w="3249" w:type="dxa"/>
            <w:gridSpan w:val="2"/>
          </w:tcPr>
          <w:p w:rsidR="0094424E" w:rsidRPr="00FA4EAF" w:rsidRDefault="0094424E">
            <w:pPr>
              <w:rPr>
                <w:rFonts w:ascii="Arial" w:hAnsi="Arial"/>
                <w:b/>
                <w:bCs/>
                <w:noProof w:val="0"/>
                <w:sz w:val="26"/>
                <w:szCs w:val="26"/>
                <w:rtl/>
              </w:rPr>
            </w:pPr>
          </w:p>
          <w:p w:rsidR="0094424E" w:rsidRPr="00FA4EAF" w:rsidRDefault="00DF6C6B">
            <w:pPr>
              <w:rPr>
                <w:rFonts w:ascii="Arial" w:hAnsi="Arial"/>
                <w:b/>
                <w:bCs/>
                <w:noProof w:val="0"/>
                <w:sz w:val="26"/>
                <w:szCs w:val="26"/>
              </w:rPr>
            </w:pPr>
            <w:sdt>
              <w:sdtPr>
                <w:rPr>
                  <w:sz w:val="26"/>
                  <w:szCs w:val="26"/>
                  <w:rtl/>
                </w:rPr>
                <w:alias w:val="1184"/>
                <w:tag w:val="1184"/>
                <w:id w:val="-340621022"/>
                <w:text w:multiLine="1"/>
              </w:sdtPr>
              <w:sdtEndPr/>
              <w:sdtContent>
                <w:r w:rsidR="001F5DB6">
                  <w:rPr>
                    <w:rFonts w:ascii="Arial" w:hAnsi="Arial"/>
                    <w:b/>
                    <w:bCs/>
                    <w:noProof w:val="0"/>
                    <w:sz w:val="26"/>
                    <w:szCs w:val="26"/>
                    <w:rtl/>
                  </w:rPr>
                  <w:t>משיבים</w:t>
                </w:r>
              </w:sdtContent>
            </w:sdt>
          </w:p>
        </w:tc>
        <w:tc>
          <w:tcPr>
            <w:tcW w:w="5571" w:type="dxa"/>
          </w:tcPr>
          <w:p w:rsidR="0094424E" w:rsidRPr="00FA4EAF" w:rsidRDefault="0094424E">
            <w:pPr>
              <w:rPr>
                <w:rFonts w:ascii="Arial" w:hAnsi="Arial"/>
                <w:b/>
                <w:bCs/>
                <w:noProof w:val="0"/>
                <w:sz w:val="26"/>
                <w:szCs w:val="26"/>
                <w:rtl/>
              </w:rPr>
            </w:pPr>
          </w:p>
          <w:p w:rsidR="0094424E" w:rsidRPr="009771F0" w:rsidRDefault="00DF6C6B" w:rsidP="009771F0">
            <w:pPr>
              <w:rPr>
                <w:sz w:val="26"/>
                <w:szCs w:val="26"/>
                <w:rtl/>
              </w:rPr>
            </w:pPr>
            <w:sdt>
              <w:sdtPr>
                <w:rPr>
                  <w:sz w:val="26"/>
                  <w:szCs w:val="26"/>
                  <w:rtl/>
                </w:rPr>
                <w:alias w:val="1571"/>
                <w:tag w:val="1571"/>
                <w:id w:val="1028836282"/>
                <w:text w:multiLine="1"/>
              </w:sdtPr>
              <w:sdtEndPr/>
              <w:sdtContent>
                <w:r w:rsidR="001F5DB6">
                  <w:rPr>
                    <w:rFonts w:ascii="Arial" w:hAnsi="Arial"/>
                    <w:b/>
                    <w:bCs/>
                    <w:noProof w:val="0"/>
                    <w:sz w:val="26"/>
                    <w:szCs w:val="26"/>
                    <w:rtl/>
                  </w:rPr>
                  <w:t>1</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309872140"/>
                <w:text w:multiLine="1"/>
              </w:sdtPr>
              <w:sdtEndPr/>
              <w:sdtContent>
                <w:r w:rsidR="001F5DB6">
                  <w:rPr>
                    <w:rFonts w:ascii="Arial" w:hAnsi="Arial"/>
                    <w:b/>
                    <w:bCs/>
                    <w:noProof w:val="0"/>
                    <w:sz w:val="26"/>
                    <w:szCs w:val="26"/>
                    <w:rtl/>
                  </w:rPr>
                  <w:t>ישראל דודקמן</w:t>
                </w:r>
              </w:sdtContent>
            </w:sdt>
          </w:p>
          <w:p w:rsidR="003763AB" w:rsidRDefault="00DF6C6B">
            <w:pPr>
              <w:rPr>
                <w:sz w:val="26"/>
                <w:szCs w:val="26"/>
                <w:rtl/>
              </w:rPr>
            </w:pPr>
            <w:sdt>
              <w:sdtPr>
                <w:rPr>
                  <w:sz w:val="26"/>
                  <w:szCs w:val="26"/>
                  <w:rtl/>
                </w:rPr>
                <w:alias w:val="1571"/>
                <w:tag w:val="1571"/>
                <w:id w:val="-775099065"/>
                <w:text w:multiLine="1"/>
              </w:sdtPr>
              <w:sdtEndPr/>
              <w:sdtContent>
                <w:r w:rsidR="001F5DB6">
                  <w:rPr>
                    <w:rFonts w:ascii="Arial" w:hAnsi="Arial"/>
                    <w:b/>
                    <w:bCs/>
                    <w:noProof w:val="0"/>
                    <w:sz w:val="26"/>
                    <w:szCs w:val="26"/>
                    <w:rtl/>
                  </w:rPr>
                  <w:t>2</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321720189"/>
                <w:text w:multiLine="1"/>
              </w:sdtPr>
              <w:sdtEndPr/>
              <w:sdtContent>
                <w:r w:rsidR="001F5DB6">
                  <w:rPr>
                    <w:rFonts w:ascii="Arial" w:hAnsi="Arial"/>
                    <w:b/>
                    <w:bCs/>
                    <w:noProof w:val="0"/>
                    <w:sz w:val="26"/>
                    <w:szCs w:val="26"/>
                    <w:rtl/>
                  </w:rPr>
                  <w:t>איריס דודקמן</w:t>
                </w:r>
              </w:sdtContent>
            </w:sdt>
          </w:p>
          <w:p w:rsidR="003763AB" w:rsidRPr="009771F0" w:rsidRDefault="00DF6C6B" w:rsidP="009771F0">
            <w:pPr>
              <w:rPr>
                <w:b/>
                <w:bCs/>
                <w:sz w:val="26"/>
                <w:szCs w:val="26"/>
                <w:rtl/>
              </w:rPr>
            </w:pPr>
            <w:sdt>
              <w:sdtPr>
                <w:rPr>
                  <w:sz w:val="26"/>
                  <w:szCs w:val="26"/>
                  <w:rtl/>
                </w:rPr>
                <w:alias w:val="1571"/>
                <w:tag w:val="1571"/>
                <w:id w:val="1564298210"/>
                <w:text w:multiLine="1"/>
              </w:sdtPr>
              <w:sdtEndPr/>
              <w:sdtContent>
                <w:r w:rsidR="001F5DB6">
                  <w:rPr>
                    <w:rFonts w:ascii="Arial" w:hAnsi="Arial"/>
                    <w:b/>
                    <w:bCs/>
                    <w:noProof w:val="0"/>
                    <w:sz w:val="26"/>
                    <w:szCs w:val="26"/>
                    <w:rtl/>
                  </w:rPr>
                  <w:t>3</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b/>
                  <w:bCs/>
                  <w:sz w:val="26"/>
                  <w:szCs w:val="26"/>
                  <w:rtl/>
                </w:rPr>
                <w:alias w:val="1486"/>
                <w:tag w:val="1486"/>
                <w:id w:val="904416150"/>
                <w:text w:multiLine="1"/>
              </w:sdtPr>
              <w:sdtEndPr/>
              <w:sdtContent>
                <w:r w:rsidR="001F5DB6" w:rsidRPr="009771F0">
                  <w:rPr>
                    <w:rFonts w:ascii="Arial" w:hAnsi="Arial"/>
                    <w:b/>
                    <w:bCs/>
                    <w:noProof w:val="0"/>
                    <w:sz w:val="26"/>
                    <w:szCs w:val="26"/>
                    <w:rtl/>
                  </w:rPr>
                  <w:t>עו"ד ורדה חקלאי</w:t>
                </w:r>
                <w:r w:rsidR="009771F0" w:rsidRPr="009771F0">
                  <w:rPr>
                    <w:rFonts w:hint="cs"/>
                    <w:b/>
                    <w:bCs/>
                    <w:sz w:val="26"/>
                    <w:szCs w:val="26"/>
                    <w:rtl/>
                  </w:rPr>
                  <w:t xml:space="preserve"> - </w:t>
                </w:r>
                <w:r w:rsidR="009771F0" w:rsidRPr="009771F0">
                  <w:rPr>
                    <w:b/>
                    <w:bCs/>
                    <w:sz w:val="26"/>
                    <w:szCs w:val="26"/>
                    <w:rtl/>
                  </w:rPr>
                  <w:t xml:space="preserve">כונסת </w:t>
                </w:r>
                <w:r w:rsidR="009771F0" w:rsidRPr="009771F0">
                  <w:rPr>
                    <w:rFonts w:hint="cs"/>
                    <w:b/>
                    <w:bCs/>
                    <w:sz w:val="26"/>
                    <w:szCs w:val="26"/>
                    <w:rtl/>
                  </w:rPr>
                  <w:t>נכסים</w:t>
                </w:r>
              </w:sdtContent>
            </w:sdt>
          </w:p>
          <w:p w:rsidR="003763AB" w:rsidRPr="009771F0" w:rsidRDefault="00DF6C6B" w:rsidP="009771F0">
            <w:pPr>
              <w:rPr>
                <w:b/>
                <w:bCs/>
                <w:sz w:val="26"/>
                <w:szCs w:val="26"/>
                <w:rtl/>
              </w:rPr>
            </w:pPr>
            <w:sdt>
              <w:sdtPr>
                <w:rPr>
                  <w:b/>
                  <w:bCs/>
                  <w:sz w:val="26"/>
                  <w:szCs w:val="26"/>
                  <w:rtl/>
                </w:rPr>
                <w:alias w:val="1571"/>
                <w:tag w:val="1571"/>
                <w:id w:val="1531606224"/>
                <w:text w:multiLine="1"/>
              </w:sdtPr>
              <w:sdtEndPr/>
              <w:sdtContent>
                <w:r w:rsidR="001F5DB6" w:rsidRPr="009771F0">
                  <w:rPr>
                    <w:rFonts w:ascii="Arial" w:hAnsi="Arial"/>
                    <w:b/>
                    <w:bCs/>
                    <w:noProof w:val="0"/>
                    <w:sz w:val="26"/>
                    <w:szCs w:val="26"/>
                    <w:rtl/>
                  </w:rPr>
                  <w:t>4</w:t>
                </w:r>
              </w:sdtContent>
            </w:sdt>
            <w:r w:rsidR="0094424E" w:rsidRPr="009771F0">
              <w:rPr>
                <w:rFonts w:ascii="Arial" w:hAnsi="Arial"/>
                <w:b/>
                <w:bCs/>
                <w:noProof w:val="0"/>
                <w:sz w:val="26"/>
                <w:szCs w:val="26"/>
                <w:rtl/>
              </w:rPr>
              <w:t>.</w:t>
            </w:r>
            <w:r w:rsidR="0094424E" w:rsidRPr="009771F0">
              <w:rPr>
                <w:rFonts w:ascii="Arial" w:hAnsi="Arial" w:hint="cs"/>
                <w:b/>
                <w:bCs/>
                <w:noProof w:val="0"/>
                <w:sz w:val="26"/>
                <w:szCs w:val="26"/>
                <w:rtl/>
              </w:rPr>
              <w:t xml:space="preserve"> </w:t>
            </w:r>
            <w:sdt>
              <w:sdtPr>
                <w:rPr>
                  <w:b/>
                  <w:bCs/>
                  <w:sz w:val="26"/>
                  <w:szCs w:val="26"/>
                  <w:rtl/>
                </w:rPr>
                <w:alias w:val="1486"/>
                <w:tag w:val="1486"/>
                <w:id w:val="-1752952527"/>
                <w:text w:multiLine="1"/>
              </w:sdtPr>
              <w:sdtEndPr/>
              <w:sdtContent>
                <w:r w:rsidR="001F5DB6" w:rsidRPr="009771F0">
                  <w:rPr>
                    <w:rFonts w:ascii="Arial" w:hAnsi="Arial"/>
                    <w:b/>
                    <w:bCs/>
                    <w:noProof w:val="0"/>
                    <w:sz w:val="26"/>
                    <w:szCs w:val="26"/>
                    <w:rtl/>
                  </w:rPr>
                  <w:t>עו"ד בטי אשורי</w:t>
                </w:r>
                <w:r w:rsidR="009771F0" w:rsidRPr="009771F0">
                  <w:rPr>
                    <w:b/>
                    <w:bCs/>
                    <w:sz w:val="26"/>
                    <w:szCs w:val="26"/>
                    <w:rtl/>
                  </w:rPr>
                  <w:t xml:space="preserve"> </w:t>
                </w:r>
                <w:r w:rsidR="009771F0">
                  <w:rPr>
                    <w:rFonts w:hint="cs"/>
                    <w:b/>
                    <w:bCs/>
                    <w:sz w:val="26"/>
                    <w:szCs w:val="26"/>
                    <w:rtl/>
                  </w:rPr>
                  <w:t>-</w:t>
                </w:r>
                <w:r w:rsidR="009771F0" w:rsidRPr="009771F0">
                  <w:rPr>
                    <w:b/>
                    <w:bCs/>
                    <w:sz w:val="26"/>
                    <w:szCs w:val="26"/>
                    <w:rtl/>
                  </w:rPr>
                  <w:t xml:space="preserve"> כונסת </w:t>
                </w:r>
                <w:r w:rsidR="009771F0" w:rsidRPr="009771F0">
                  <w:rPr>
                    <w:rFonts w:hint="cs"/>
                    <w:b/>
                    <w:bCs/>
                    <w:sz w:val="26"/>
                    <w:szCs w:val="26"/>
                    <w:rtl/>
                  </w:rPr>
                  <w:t>נכסים</w:t>
                </w:r>
              </w:sdtContent>
            </w:sdt>
          </w:p>
          <w:p w:rsidR="0094424E" w:rsidRPr="00FA4EAF" w:rsidRDefault="0094424E">
            <w:pPr>
              <w:rPr>
                <w:b/>
                <w:bCs/>
                <w:noProof w:val="0"/>
                <w:sz w:val="26"/>
                <w:szCs w:val="26"/>
                <w:rtl/>
              </w:rPr>
            </w:pPr>
          </w:p>
        </w:tc>
      </w:tr>
      <w:tr w:rsidR="004C17EE" w:rsidRPr="00FA4EAF" w:rsidTr="00D620FD">
        <w:trPr>
          <w:jc w:val="center"/>
        </w:trPr>
        <w:tc>
          <w:tcPr>
            <w:tcW w:w="8820" w:type="dxa"/>
            <w:gridSpan w:val="3"/>
          </w:tcPr>
          <w:p w:rsidR="00A47358" w:rsidRDefault="00A47358">
            <w:pPr>
              <w:rPr>
                <w:rFonts w:ascii="Arial" w:hAnsi="Arial"/>
                <w:b/>
                <w:bCs/>
                <w:noProof w:val="0"/>
                <w:sz w:val="26"/>
                <w:szCs w:val="26"/>
                <w:rtl/>
              </w:rPr>
            </w:pPr>
          </w:p>
        </w:tc>
      </w:tr>
    </w:tbl>
    <w:p w:rsidR="0094424E" w:rsidRDefault="0094424E" w:rsidP="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811A9E" w:rsidRDefault="00811A9E" w:rsidP="00784819">
      <w:pPr>
        <w:pStyle w:val="ad"/>
        <w:numPr>
          <w:ilvl w:val="0"/>
          <w:numId w:val="1"/>
        </w:numPr>
        <w:spacing w:line="360" w:lineRule="auto"/>
        <w:jc w:val="both"/>
        <w:rPr>
          <w:rFonts w:ascii="Arial" w:hAnsi="Arial"/>
          <w:noProof w:val="0"/>
        </w:rPr>
      </w:pPr>
      <w:bookmarkStart w:id="1" w:name="NGCSBookmark"/>
      <w:bookmarkEnd w:id="1"/>
      <w:r>
        <w:rPr>
          <w:rFonts w:ascii="Arial" w:hAnsi="Arial"/>
          <w:noProof w:val="0"/>
          <w:rtl/>
        </w:rPr>
        <w:t xml:space="preserve">לפניי בקשת המערערת להורות על מחיקת הערעור שהגישו המשיבות 3 ו-4 (להלן: </w:t>
      </w:r>
      <w:r>
        <w:rPr>
          <w:rFonts w:ascii="Arial" w:hAnsi="Arial"/>
          <w:b/>
          <w:bCs/>
          <w:noProof w:val="0"/>
          <w:rtl/>
        </w:rPr>
        <w:t>"המשיבות"</w:t>
      </w:r>
      <w:r>
        <w:rPr>
          <w:rFonts w:ascii="Arial" w:hAnsi="Arial"/>
          <w:noProof w:val="0"/>
          <w:rtl/>
        </w:rPr>
        <w:t>), בשל איחור בהגשתו ובשל אי הפקדת ערובה.</w:t>
      </w:r>
    </w:p>
    <w:p w:rsidR="00811A9E" w:rsidRDefault="00811A9E" w:rsidP="00811A9E">
      <w:pPr>
        <w:pStyle w:val="ad"/>
        <w:spacing w:line="360" w:lineRule="auto"/>
        <w:jc w:val="both"/>
        <w:rPr>
          <w:rFonts w:ascii="Arial" w:hAnsi="Arial"/>
          <w:noProof w:val="0"/>
        </w:rPr>
      </w:pPr>
    </w:p>
    <w:p w:rsidR="00811A9E" w:rsidRDefault="00811A9E" w:rsidP="00811A9E">
      <w:pPr>
        <w:pStyle w:val="ad"/>
        <w:numPr>
          <w:ilvl w:val="0"/>
          <w:numId w:val="1"/>
        </w:numPr>
        <w:spacing w:line="360" w:lineRule="auto"/>
        <w:jc w:val="both"/>
        <w:rPr>
          <w:rFonts w:ascii="Arial" w:hAnsi="Arial"/>
          <w:noProof w:val="0"/>
        </w:rPr>
      </w:pPr>
      <w:r>
        <w:rPr>
          <w:rFonts w:ascii="Arial" w:hAnsi="Arial"/>
          <w:noProof w:val="0"/>
          <w:rtl/>
        </w:rPr>
        <w:t xml:space="preserve">ביום 2.2.2023 הגישה המערערת ערעור על פסק הדין שניתן ביום 4.12.2022 בבית משפט השלום בתל אביב על ידי כב' השופט עדי הדר. </w:t>
      </w:r>
    </w:p>
    <w:p w:rsidR="00811A9E" w:rsidRDefault="00811A9E" w:rsidP="00811A9E">
      <w:pPr>
        <w:pStyle w:val="ad"/>
        <w:rPr>
          <w:rFonts w:ascii="Arial" w:hAnsi="Arial"/>
          <w:noProof w:val="0"/>
        </w:rPr>
      </w:pPr>
    </w:p>
    <w:p w:rsidR="00811A9E" w:rsidRDefault="00811A9E" w:rsidP="00383978">
      <w:pPr>
        <w:pStyle w:val="ad"/>
        <w:numPr>
          <w:ilvl w:val="0"/>
          <w:numId w:val="1"/>
        </w:numPr>
        <w:spacing w:line="360" w:lineRule="auto"/>
        <w:jc w:val="both"/>
        <w:rPr>
          <w:rFonts w:ascii="Arial" w:hAnsi="Arial"/>
          <w:noProof w:val="0"/>
          <w:rtl/>
        </w:rPr>
      </w:pPr>
      <w:r>
        <w:rPr>
          <w:rFonts w:ascii="Arial" w:hAnsi="Arial"/>
          <w:noProof w:val="0"/>
          <w:rtl/>
        </w:rPr>
        <w:t>המערערת טענה כי בכתב הערעור צוינה ח</w:t>
      </w:r>
      <w:r w:rsidR="00431ACF">
        <w:rPr>
          <w:rFonts w:ascii="Arial" w:hAnsi="Arial"/>
          <w:noProof w:val="0"/>
          <w:rtl/>
        </w:rPr>
        <w:t>ובת הפקדת ערובה בסך של 20,000 ₪</w:t>
      </w:r>
      <w:r>
        <w:rPr>
          <w:rFonts w:ascii="Arial" w:hAnsi="Arial"/>
          <w:noProof w:val="0"/>
          <w:rtl/>
        </w:rPr>
        <w:t xml:space="preserve"> להבטחת הוצאות המשיבים. הערובה לערעור מטעם המבקשת הופקדה ביום 8.2.2023. לטענתה, מזכירות בית המשפט אינה שולחת הודעה על הפקדת ערובה וגם לא ניתן להוציא הודעה שכזו באמצעות נט המשפט. הערעור הומצא למשיבות במסירה אישית ביום 26.2.2023. יחד עם הודעת הערעור נמסרה להן החלטת בית המשפט מיום 20.2.2023 וכן הזמנה לדיון שהוצאה על ידי בית המשפט ביום 21.2.2023. בהתאם</w:t>
      </w:r>
      <w:r w:rsidR="00431ACF">
        <w:rPr>
          <w:rFonts w:ascii="Arial" w:hAnsi="Arial" w:hint="cs"/>
          <w:noProof w:val="0"/>
          <w:rtl/>
        </w:rPr>
        <w:t>,</w:t>
      </w:r>
      <w:r>
        <w:rPr>
          <w:rFonts w:ascii="Arial" w:hAnsi="Arial"/>
          <w:noProof w:val="0"/>
          <w:rtl/>
        </w:rPr>
        <w:t xml:space="preserve"> היה על המשיבות להגיש את תגובתן לערעור עד ליום 6.5.2023. ביום 9.5.2023 ולאחר תום 60 הימים מהמועד שבו כתב הערעור הומצא למשיבות</w:t>
      </w:r>
      <w:r w:rsidR="00431ACF">
        <w:rPr>
          <w:rFonts w:ascii="Arial" w:hAnsi="Arial" w:hint="cs"/>
          <w:noProof w:val="0"/>
          <w:rtl/>
        </w:rPr>
        <w:t>,</w:t>
      </w:r>
      <w:r>
        <w:rPr>
          <w:rFonts w:ascii="Arial" w:hAnsi="Arial"/>
          <w:noProof w:val="0"/>
          <w:rtl/>
        </w:rPr>
        <w:t xml:space="preserve"> הגישו המשיבות את כתב תשובתן לערעור.  כמעט שבוע לאחר מכן ביום 15.5.2023 הגישו המשיבות ערעור מטעמן. </w:t>
      </w:r>
    </w:p>
    <w:p w:rsidR="00811A9E" w:rsidRDefault="00811A9E" w:rsidP="00811A9E">
      <w:pPr>
        <w:pStyle w:val="ad"/>
        <w:rPr>
          <w:rFonts w:ascii="Arial" w:hAnsi="Arial"/>
          <w:noProof w:val="0"/>
        </w:rPr>
      </w:pPr>
    </w:p>
    <w:p w:rsidR="00811A9E" w:rsidRDefault="00811A9E" w:rsidP="00703412">
      <w:pPr>
        <w:pStyle w:val="ad"/>
        <w:numPr>
          <w:ilvl w:val="0"/>
          <w:numId w:val="1"/>
        </w:numPr>
        <w:spacing w:line="360" w:lineRule="auto"/>
        <w:jc w:val="both"/>
        <w:rPr>
          <w:rFonts w:ascii="Arial" w:hAnsi="Arial"/>
          <w:noProof w:val="0"/>
          <w:rtl/>
        </w:rPr>
      </w:pPr>
      <w:r>
        <w:rPr>
          <w:rFonts w:ascii="Arial" w:hAnsi="Arial"/>
          <w:noProof w:val="0"/>
          <w:rtl/>
        </w:rPr>
        <w:lastRenderedPageBreak/>
        <w:t>לטענת המערערת</w:t>
      </w:r>
      <w:r w:rsidR="00431ACF">
        <w:rPr>
          <w:rFonts w:ascii="Arial" w:hAnsi="Arial" w:hint="cs"/>
          <w:noProof w:val="0"/>
          <w:rtl/>
        </w:rPr>
        <w:t>,</w:t>
      </w:r>
      <w:r>
        <w:rPr>
          <w:rFonts w:ascii="Arial" w:hAnsi="Arial"/>
          <w:noProof w:val="0"/>
          <w:rtl/>
        </w:rPr>
        <w:t xml:space="preserve"> על פי תקנה 137 לתקנות סדר הדין האזרחי, המועד להגשת ערעור המשיבות תם ביום 6.5.2023, הוא המועד בו הגישו את תשובתן לערעור. לטענתה</w:t>
      </w:r>
      <w:r w:rsidR="00431ACF">
        <w:rPr>
          <w:rFonts w:ascii="Arial" w:hAnsi="Arial"/>
          <w:noProof w:val="0"/>
          <w:rtl/>
        </w:rPr>
        <w:t xml:space="preserve">, משהודעת הערעור נמסרה למשיבות </w:t>
      </w:r>
      <w:r>
        <w:rPr>
          <w:rFonts w:ascii="Arial" w:hAnsi="Arial"/>
          <w:noProof w:val="0"/>
          <w:rtl/>
        </w:rPr>
        <w:t>יחד עם החלטת בית המשפט שכללה הוראות לשמיעת הערעור וההזמנה לדין, ברור שהערובה הופקדה ולכל הפחות קיימת חזקה שכך נעשה. זאת, במיוחד על רקע תקנה 135 הקובעת שבהעדר הפקדה</w:t>
      </w:r>
      <w:r w:rsidR="00431ACF">
        <w:rPr>
          <w:rFonts w:ascii="Arial" w:hAnsi="Arial" w:hint="cs"/>
          <w:noProof w:val="0"/>
          <w:rtl/>
        </w:rPr>
        <w:t>,</w:t>
      </w:r>
      <w:r>
        <w:rPr>
          <w:rFonts w:ascii="Arial" w:hAnsi="Arial"/>
          <w:noProof w:val="0"/>
          <w:rtl/>
        </w:rPr>
        <w:t xml:space="preserve"> בית המשפט ימחק את כתב הערעור ובוודאי לא יקבע מועד והוראות לשמיעתו. לאור האמור</w:t>
      </w:r>
      <w:r w:rsidR="00431ACF">
        <w:rPr>
          <w:rFonts w:ascii="Arial" w:hAnsi="Arial" w:hint="cs"/>
          <w:noProof w:val="0"/>
          <w:rtl/>
        </w:rPr>
        <w:t>,</w:t>
      </w:r>
      <w:r>
        <w:rPr>
          <w:rFonts w:ascii="Arial" w:hAnsi="Arial"/>
          <w:noProof w:val="0"/>
          <w:rtl/>
        </w:rPr>
        <w:t xml:space="preserve"> טענה המערערת כי  טענת המשיבות כי לא קיבלו הודעה על הפקדת ערובה מהווה היתממות ועצימת עיניים. במיוחד הדברים אמורים</w:t>
      </w:r>
      <w:r w:rsidR="00431ACF">
        <w:rPr>
          <w:rFonts w:ascii="Arial" w:hAnsi="Arial" w:hint="cs"/>
          <w:noProof w:val="0"/>
          <w:rtl/>
        </w:rPr>
        <w:t>,</w:t>
      </w:r>
      <w:r>
        <w:rPr>
          <w:rFonts w:ascii="Arial" w:hAnsi="Arial"/>
          <w:noProof w:val="0"/>
          <w:rtl/>
        </w:rPr>
        <w:t xml:space="preserve"> לאור העובדה שהגישו קודם להגשת הערעור מטעמן, כתב תשובה לערעור, שהרי מה הטעם לעשות כן אם לא הופקדה ערובה כאמור והערעור יימחק</w:t>
      </w:r>
      <w:r w:rsidR="00383978">
        <w:rPr>
          <w:rFonts w:ascii="Arial" w:hAnsi="Arial" w:hint="cs"/>
          <w:noProof w:val="0"/>
          <w:rtl/>
        </w:rPr>
        <w:t>.</w:t>
      </w:r>
      <w:r>
        <w:rPr>
          <w:rFonts w:ascii="Arial" w:hAnsi="Arial"/>
          <w:noProof w:val="0"/>
          <w:rtl/>
        </w:rPr>
        <w:t xml:space="preserve"> גם העובדה שנמנעו מלציין את המועד הברור והאופן בו נודע להן על הפקדת הערובה שממנו יש למנות את המועד להגשת ערעורן וטענתן המיתממת שטרם הגיע המועד להגשתו, שכן לא קיבלו כל הודעה על הפקדת העירבון</w:t>
      </w:r>
      <w:r w:rsidR="00431ACF">
        <w:rPr>
          <w:rFonts w:ascii="Arial" w:hAnsi="Arial" w:hint="cs"/>
          <w:noProof w:val="0"/>
          <w:rtl/>
        </w:rPr>
        <w:t>,</w:t>
      </w:r>
      <w:r>
        <w:rPr>
          <w:rFonts w:ascii="Arial" w:hAnsi="Arial"/>
          <w:noProof w:val="0"/>
          <w:rtl/>
        </w:rPr>
        <w:t xml:space="preserve"> מעיד</w:t>
      </w:r>
      <w:r w:rsidR="00431ACF">
        <w:rPr>
          <w:rFonts w:ascii="Arial" w:hAnsi="Arial" w:hint="cs"/>
          <w:noProof w:val="0"/>
          <w:rtl/>
        </w:rPr>
        <w:t>ות</w:t>
      </w:r>
      <w:r w:rsidR="00431ACF">
        <w:rPr>
          <w:rFonts w:ascii="Arial" w:hAnsi="Arial"/>
          <w:noProof w:val="0"/>
          <w:rtl/>
        </w:rPr>
        <w:t xml:space="preserve"> על חוסר תום ליבן. </w:t>
      </w:r>
      <w:r>
        <w:rPr>
          <w:rFonts w:ascii="Arial" w:hAnsi="Arial"/>
          <w:noProof w:val="0"/>
          <w:rtl/>
        </w:rPr>
        <w:t>אם היה ספק ביד</w:t>
      </w:r>
      <w:r w:rsidR="00431ACF">
        <w:rPr>
          <w:rFonts w:ascii="Arial" w:hAnsi="Arial" w:hint="cs"/>
          <w:noProof w:val="0"/>
          <w:rtl/>
        </w:rPr>
        <w:t>ן,</w:t>
      </w:r>
      <w:r>
        <w:rPr>
          <w:rFonts w:ascii="Arial" w:hAnsi="Arial"/>
          <w:noProof w:val="0"/>
          <w:rtl/>
        </w:rPr>
        <w:t xml:space="preserve"> יכלו לעיין בתיק בית המשפט ולראות שהערובה הופקדה ולחלופין לפנות אל ב"כ המערערת ולוודא נושא זה. לטענת המערערת,  ישיבתן של המשיבות בחיבוק ידיים בנושא זה אינה התנהלות בתום לב ובהגינות דיונית כמתחייב מתקנה 3(ב) לתקנות סדר הדין. המערערת טענה כי בנסיבות אלה למשיבות הייתה ידיעה קונסטרוקטיבית על הפקדת הערובה</w:t>
      </w:r>
      <w:r w:rsidR="00703412">
        <w:rPr>
          <w:rFonts w:ascii="Arial" w:hAnsi="Arial" w:hint="cs"/>
          <w:noProof w:val="0"/>
          <w:rtl/>
        </w:rPr>
        <w:t>.</w:t>
      </w:r>
      <w:r>
        <w:rPr>
          <w:rFonts w:ascii="Arial" w:hAnsi="Arial"/>
          <w:noProof w:val="0"/>
          <w:rtl/>
        </w:rPr>
        <w:t xml:space="preserve"> המשיבות לא ביקשו ולא קיבלו הארכת מועד להגשת ערעורן.</w:t>
      </w:r>
    </w:p>
    <w:p w:rsidR="00811A9E" w:rsidRDefault="00811A9E" w:rsidP="00811A9E">
      <w:pPr>
        <w:pStyle w:val="ad"/>
        <w:spacing w:line="360" w:lineRule="auto"/>
        <w:jc w:val="both"/>
        <w:rPr>
          <w:rFonts w:ascii="Arial" w:hAnsi="Arial"/>
          <w:noProof w:val="0"/>
        </w:rPr>
      </w:pPr>
    </w:p>
    <w:p w:rsidR="00811A9E" w:rsidRDefault="00811A9E" w:rsidP="00703412">
      <w:pPr>
        <w:pStyle w:val="ad"/>
        <w:numPr>
          <w:ilvl w:val="0"/>
          <w:numId w:val="1"/>
        </w:numPr>
        <w:spacing w:line="360" w:lineRule="auto"/>
        <w:jc w:val="both"/>
        <w:rPr>
          <w:rFonts w:ascii="Arial" w:hAnsi="Arial"/>
          <w:noProof w:val="0"/>
        </w:rPr>
      </w:pPr>
      <w:r>
        <w:rPr>
          <w:rFonts w:ascii="Arial" w:hAnsi="Arial"/>
          <w:noProof w:val="0"/>
          <w:rtl/>
        </w:rPr>
        <w:t xml:space="preserve"> המערערת הפנתה </w:t>
      </w:r>
      <w:r w:rsidR="00703412">
        <w:rPr>
          <w:rFonts w:ascii="Arial" w:hAnsi="Arial" w:hint="cs"/>
          <w:noProof w:val="0"/>
          <w:rtl/>
        </w:rPr>
        <w:t>להחלטה</w:t>
      </w:r>
      <w:r>
        <w:rPr>
          <w:rFonts w:ascii="Arial" w:hAnsi="Arial"/>
          <w:noProof w:val="0"/>
          <w:rtl/>
        </w:rPr>
        <w:t xml:space="preserve">  בע"א 4662/22 </w:t>
      </w:r>
      <w:r>
        <w:rPr>
          <w:rFonts w:ascii="Arial" w:hAnsi="Arial"/>
          <w:noProof w:val="0"/>
          <w:u w:val="single"/>
          <w:rtl/>
        </w:rPr>
        <w:t xml:space="preserve">עיריית חדרה נ' חב' אסיה חדרה ישראל בע"מ </w:t>
      </w:r>
      <w:r>
        <w:rPr>
          <w:rFonts w:ascii="Arial" w:hAnsi="Arial"/>
          <w:noProof w:val="0"/>
          <w:rtl/>
        </w:rPr>
        <w:t xml:space="preserve"> (להלן: </w:t>
      </w:r>
      <w:r>
        <w:rPr>
          <w:rFonts w:ascii="Arial" w:hAnsi="Arial"/>
          <w:b/>
          <w:bCs/>
          <w:noProof w:val="0"/>
          <w:rtl/>
        </w:rPr>
        <w:t>"עניין חדרה"</w:t>
      </w:r>
      <w:r w:rsidR="00703412">
        <w:rPr>
          <w:rFonts w:ascii="Arial" w:hAnsi="Arial"/>
          <w:noProof w:val="0"/>
          <w:rtl/>
        </w:rPr>
        <w:t>) שם נקבע</w:t>
      </w:r>
      <w:r w:rsidR="003C5100">
        <w:rPr>
          <w:rFonts w:ascii="Arial" w:hAnsi="Arial"/>
          <w:noProof w:val="0"/>
          <w:rtl/>
        </w:rPr>
        <w:t xml:space="preserve"> </w:t>
      </w:r>
      <w:r w:rsidR="003C5100">
        <w:rPr>
          <w:rFonts w:ascii="Arial" w:hAnsi="Arial" w:hint="cs"/>
          <w:noProof w:val="0"/>
          <w:rtl/>
        </w:rPr>
        <w:t xml:space="preserve">כי </w:t>
      </w:r>
      <w:r>
        <w:rPr>
          <w:rFonts w:ascii="Arial" w:hAnsi="Arial"/>
          <w:noProof w:val="0"/>
          <w:rtl/>
        </w:rPr>
        <w:t>הגם שאין להעביר את הנטל מהמערער למשיב</w:t>
      </w:r>
      <w:r w:rsidR="003C5100">
        <w:rPr>
          <w:rFonts w:ascii="Arial" w:hAnsi="Arial" w:hint="cs"/>
          <w:noProof w:val="0"/>
          <w:rtl/>
        </w:rPr>
        <w:t>,</w:t>
      </w:r>
      <w:r>
        <w:rPr>
          <w:rFonts w:ascii="Arial" w:hAnsi="Arial"/>
          <w:noProof w:val="0"/>
          <w:rtl/>
        </w:rPr>
        <w:t xml:space="preserve"> ייתכנו נסיבות שבהן מצופה שהמשיב יפעל לברר אם הופקדה ערובה, באופן שיהיה בו כדי להשפיע על שאלת המועד להגשת הערעור. עוד הפנתה </w:t>
      </w:r>
      <w:r w:rsidR="00703412">
        <w:rPr>
          <w:rFonts w:ascii="Arial" w:hAnsi="Arial" w:hint="cs"/>
          <w:noProof w:val="0"/>
          <w:rtl/>
        </w:rPr>
        <w:t>להחלטה</w:t>
      </w:r>
      <w:r>
        <w:rPr>
          <w:rFonts w:ascii="Arial" w:hAnsi="Arial"/>
          <w:noProof w:val="0"/>
          <w:rtl/>
        </w:rPr>
        <w:t xml:space="preserve"> בע"א (י-ם) 34692-12-21 </w:t>
      </w:r>
      <w:r>
        <w:rPr>
          <w:rFonts w:ascii="Arial" w:hAnsi="Arial"/>
          <w:noProof w:val="0"/>
          <w:u w:val="single"/>
          <w:rtl/>
        </w:rPr>
        <w:t>אלדד מעיין נ' מיכל לנדאו קיפר</w:t>
      </w:r>
      <w:r>
        <w:rPr>
          <w:rFonts w:ascii="Arial" w:hAnsi="Arial"/>
          <w:noProof w:val="0"/>
          <w:rtl/>
        </w:rPr>
        <w:t xml:space="preserve"> ( להלן </w:t>
      </w:r>
      <w:r>
        <w:rPr>
          <w:rFonts w:ascii="Arial" w:hAnsi="Arial"/>
          <w:b/>
          <w:bCs/>
          <w:noProof w:val="0"/>
          <w:rtl/>
        </w:rPr>
        <w:t>"עניין מעיין"</w:t>
      </w:r>
      <w:r>
        <w:rPr>
          <w:rFonts w:ascii="Arial" w:hAnsi="Arial"/>
          <w:noProof w:val="0"/>
          <w:rtl/>
        </w:rPr>
        <w:t>) שם מצא בית המשפט לפסוק הוצאות נגד מי שנהג באופן דומה למשיבות כאן.</w:t>
      </w:r>
    </w:p>
    <w:p w:rsidR="00811A9E" w:rsidRDefault="00811A9E" w:rsidP="00811A9E">
      <w:pPr>
        <w:pStyle w:val="ad"/>
        <w:spacing w:line="360" w:lineRule="auto"/>
        <w:jc w:val="both"/>
        <w:rPr>
          <w:rFonts w:ascii="Arial" w:hAnsi="Arial"/>
          <w:noProof w:val="0"/>
        </w:rPr>
      </w:pPr>
    </w:p>
    <w:p w:rsidR="00811A9E" w:rsidRDefault="00811A9E" w:rsidP="00703412">
      <w:pPr>
        <w:pStyle w:val="ad"/>
        <w:numPr>
          <w:ilvl w:val="0"/>
          <w:numId w:val="1"/>
        </w:numPr>
        <w:spacing w:line="360" w:lineRule="auto"/>
        <w:jc w:val="both"/>
        <w:rPr>
          <w:rFonts w:ascii="Arial" w:hAnsi="Arial"/>
          <w:noProof w:val="0"/>
        </w:rPr>
      </w:pPr>
      <w:r>
        <w:rPr>
          <w:rFonts w:ascii="Arial" w:hAnsi="Arial"/>
          <w:noProof w:val="0"/>
          <w:rtl/>
        </w:rPr>
        <w:t>בנוסף, טענה המערערת כי בניגוד לקבוע בתקנה 135 (א)</w:t>
      </w:r>
      <w:r w:rsidR="00703412">
        <w:rPr>
          <w:rFonts w:ascii="Arial" w:hAnsi="Arial" w:hint="cs"/>
          <w:noProof w:val="0"/>
          <w:rtl/>
        </w:rPr>
        <w:t>,</w:t>
      </w:r>
      <w:r>
        <w:rPr>
          <w:rFonts w:ascii="Arial" w:hAnsi="Arial"/>
          <w:noProof w:val="0"/>
          <w:rtl/>
        </w:rPr>
        <w:t xml:space="preserve"> המשיבות לא הפקידו ערובה להבטחת הוצאות המערערת. לטענתה</w:t>
      </w:r>
      <w:r w:rsidR="00703412">
        <w:rPr>
          <w:rFonts w:ascii="Arial" w:hAnsi="Arial" w:hint="cs"/>
          <w:noProof w:val="0"/>
          <w:rtl/>
        </w:rPr>
        <w:t>,</w:t>
      </w:r>
      <w:r>
        <w:rPr>
          <w:rFonts w:ascii="Arial" w:hAnsi="Arial"/>
          <w:noProof w:val="0"/>
          <w:rtl/>
        </w:rPr>
        <w:t xml:space="preserve"> מבדיקת תיק בית המשפט עולה כי המשיבות משכו ביום 15.5.2023 את העירבון שהופקד על ידן ולפי הרישום עד למועד הגשת הבקשה לא הפקידו עירבון אחר תחתיו.</w:t>
      </w:r>
    </w:p>
    <w:p w:rsidR="00811A9E" w:rsidRDefault="00811A9E" w:rsidP="00811A9E">
      <w:pPr>
        <w:pStyle w:val="ad"/>
        <w:rPr>
          <w:rFonts w:ascii="Arial" w:hAnsi="Arial"/>
          <w:noProof w:val="0"/>
        </w:rPr>
      </w:pPr>
    </w:p>
    <w:p w:rsidR="00811A9E" w:rsidRDefault="00811A9E" w:rsidP="00983107">
      <w:pPr>
        <w:pStyle w:val="ad"/>
        <w:numPr>
          <w:ilvl w:val="0"/>
          <w:numId w:val="1"/>
        </w:numPr>
        <w:spacing w:line="360" w:lineRule="auto"/>
        <w:jc w:val="both"/>
        <w:rPr>
          <w:rFonts w:ascii="Arial" w:hAnsi="Arial"/>
          <w:noProof w:val="0"/>
          <w:rtl/>
        </w:rPr>
      </w:pPr>
      <w:r>
        <w:rPr>
          <w:rFonts w:ascii="Arial" w:hAnsi="Arial"/>
          <w:noProof w:val="0"/>
          <w:rtl/>
        </w:rPr>
        <w:t xml:space="preserve">המשיבות </w:t>
      </w:r>
      <w:r w:rsidR="003C5100">
        <w:rPr>
          <w:rFonts w:ascii="Arial" w:hAnsi="Arial" w:hint="cs"/>
          <w:noProof w:val="0"/>
          <w:rtl/>
        </w:rPr>
        <w:t xml:space="preserve">טענו </w:t>
      </w:r>
      <w:r w:rsidR="003C5100">
        <w:rPr>
          <w:rFonts w:ascii="Arial" w:hAnsi="Arial"/>
          <w:noProof w:val="0"/>
          <w:rtl/>
        </w:rPr>
        <w:t>בתגובתן</w:t>
      </w:r>
      <w:r>
        <w:rPr>
          <w:rFonts w:ascii="Arial" w:hAnsi="Arial"/>
          <w:noProof w:val="0"/>
          <w:rtl/>
        </w:rPr>
        <w:t xml:space="preserve"> כי דין הבקשה להידחות על הסף. זאת</w:t>
      </w:r>
      <w:r w:rsidR="003C5100">
        <w:rPr>
          <w:rFonts w:ascii="Arial" w:hAnsi="Arial" w:hint="cs"/>
          <w:noProof w:val="0"/>
          <w:rtl/>
        </w:rPr>
        <w:t>,</w:t>
      </w:r>
      <w:r>
        <w:rPr>
          <w:rFonts w:ascii="Arial" w:hAnsi="Arial"/>
          <w:noProof w:val="0"/>
          <w:rtl/>
        </w:rPr>
        <w:t xml:space="preserve"> בהיותה של הבקשה מנוגדת לתקנות סדר הדין האזרחי ובניגוד לפסיקת בית המשפט העליון כפי שזו מאוזכרת </w:t>
      </w:r>
      <w:r>
        <w:rPr>
          <w:rFonts w:ascii="Arial" w:hAnsi="Arial"/>
          <w:noProof w:val="0"/>
          <w:rtl/>
        </w:rPr>
        <w:lastRenderedPageBreak/>
        <w:t>בבקשה. לטענתן, כתב הערעור מטעמן הוגש ביום 15.5.2023 בהתאם להוראת תקנה 137 (ב) לתקנות סדר הדין האזרחי הקובע</w:t>
      </w:r>
      <w:r w:rsidR="00983107">
        <w:rPr>
          <w:rFonts w:ascii="Arial" w:hAnsi="Arial" w:hint="cs"/>
          <w:noProof w:val="0"/>
          <w:rtl/>
        </w:rPr>
        <w:t>ת</w:t>
      </w:r>
      <w:r>
        <w:rPr>
          <w:rFonts w:ascii="Arial" w:hAnsi="Arial"/>
          <w:noProof w:val="0"/>
          <w:rtl/>
        </w:rPr>
        <w:t xml:space="preserve"> באופן ברור וחד משמעי, כי המועד האחרון להגשת ערעור מטעמו של משיב בערעור הוא בתוך 60 ימים מהמועד שבו הומצאה לו הודעה על הפקדת </w:t>
      </w:r>
      <w:r w:rsidR="003C5100">
        <w:rPr>
          <w:rFonts w:ascii="Arial" w:hAnsi="Arial"/>
          <w:noProof w:val="0"/>
          <w:rtl/>
        </w:rPr>
        <w:t>הערובה לפי תקנה 135. אין עוררין</w:t>
      </w:r>
      <w:r>
        <w:rPr>
          <w:rFonts w:ascii="Arial" w:hAnsi="Arial"/>
          <w:noProof w:val="0"/>
          <w:rtl/>
        </w:rPr>
        <w:t xml:space="preserve"> כי כתב הערעור שהומצא למשיבות לא כלל הודעה על הפקדת ערובה ועד למועד הגשת תגובתן לא הומצאה למי מהן ההודעה על הפקדת הערובה. בנסיבות אלה</w:t>
      </w:r>
      <w:r w:rsidR="003C5100">
        <w:rPr>
          <w:rFonts w:ascii="Arial" w:hAnsi="Arial" w:hint="cs"/>
          <w:noProof w:val="0"/>
          <w:rtl/>
        </w:rPr>
        <w:t>,</w:t>
      </w:r>
      <w:r>
        <w:rPr>
          <w:rFonts w:ascii="Arial" w:hAnsi="Arial"/>
          <w:noProof w:val="0"/>
          <w:rtl/>
        </w:rPr>
        <w:t xml:space="preserve"> הערעור הוגש למעשה עוד בטרם חלף המועד להגשתו. כך אף צו</w:t>
      </w:r>
      <w:r w:rsidR="003C5100">
        <w:rPr>
          <w:rFonts w:ascii="Arial" w:hAnsi="Arial"/>
          <w:noProof w:val="0"/>
          <w:rtl/>
        </w:rPr>
        <w:t xml:space="preserve">ין בכותרת הערעור שהגישו. </w:t>
      </w:r>
      <w:r>
        <w:rPr>
          <w:rFonts w:ascii="Arial" w:hAnsi="Arial"/>
          <w:noProof w:val="0"/>
          <w:rtl/>
        </w:rPr>
        <w:t xml:space="preserve">הן הפנו </w:t>
      </w:r>
      <w:r w:rsidR="00983107">
        <w:rPr>
          <w:rFonts w:ascii="Arial" w:hAnsi="Arial" w:hint="cs"/>
          <w:noProof w:val="0"/>
          <w:rtl/>
        </w:rPr>
        <w:t>להחלטה</w:t>
      </w:r>
      <w:r>
        <w:rPr>
          <w:rFonts w:ascii="Arial" w:hAnsi="Arial"/>
          <w:noProof w:val="0"/>
          <w:rtl/>
        </w:rPr>
        <w:t xml:space="preserve"> בעניין עיריית חדרה אלי</w:t>
      </w:r>
      <w:r w:rsidR="00983107">
        <w:rPr>
          <w:rFonts w:ascii="Arial" w:hAnsi="Arial" w:hint="cs"/>
          <w:noProof w:val="0"/>
          <w:rtl/>
        </w:rPr>
        <w:t>ה</w:t>
      </w:r>
      <w:r>
        <w:rPr>
          <w:rFonts w:ascii="Arial" w:hAnsi="Arial"/>
          <w:noProof w:val="0"/>
          <w:rtl/>
        </w:rPr>
        <w:t xml:space="preserve"> הפנתה המערערת לפי</w:t>
      </w:r>
      <w:r w:rsidR="00983107">
        <w:rPr>
          <w:rFonts w:ascii="Arial" w:hAnsi="Arial" w:hint="cs"/>
          <w:noProof w:val="0"/>
          <w:rtl/>
        </w:rPr>
        <w:t>ה</w:t>
      </w:r>
      <w:r>
        <w:rPr>
          <w:rFonts w:ascii="Arial" w:hAnsi="Arial"/>
          <w:noProof w:val="0"/>
          <w:rtl/>
        </w:rPr>
        <w:t xml:space="preserve"> על המערערת מוטלת חובת מהותית להפקיד את הערובה עם הגשת ה</w:t>
      </w:r>
      <w:r w:rsidR="003C5100">
        <w:rPr>
          <w:rFonts w:ascii="Arial" w:hAnsi="Arial"/>
          <w:noProof w:val="0"/>
          <w:rtl/>
        </w:rPr>
        <w:t>ערעור ולהמציא על כך הודעה למשיב</w:t>
      </w:r>
      <w:r>
        <w:rPr>
          <w:rFonts w:ascii="Arial" w:hAnsi="Arial"/>
          <w:noProof w:val="0"/>
          <w:rtl/>
        </w:rPr>
        <w:t>. הן טענו כי אין מקום ל</w:t>
      </w:r>
      <w:r w:rsidR="00983107">
        <w:rPr>
          <w:rFonts w:ascii="Arial" w:hAnsi="Arial" w:hint="cs"/>
          <w:noProof w:val="0"/>
          <w:rtl/>
        </w:rPr>
        <w:t xml:space="preserve">- </w:t>
      </w:r>
      <w:r>
        <w:rPr>
          <w:rFonts w:ascii="Arial" w:hAnsi="Arial"/>
          <w:noProof w:val="0"/>
          <w:rtl/>
        </w:rPr>
        <w:t>"אקרובטיקה המשפטית" בה נאחזת המערערת ולניסיונותיה לייחס למשיבות ידיעה קונסטרוקטיבית או משתמעת אודות הפקדת הערובה או להטיל עליהן חובה באיתור הערובה שהופקדה באשר לשון המחוקק הינה ברורה וחד משמעית. המערערת היא שנמנעה מהמצאת ההודעה על הפק</w:t>
      </w:r>
      <w:r w:rsidR="003C5100">
        <w:rPr>
          <w:rFonts w:ascii="Arial" w:hAnsi="Arial"/>
          <w:noProof w:val="0"/>
          <w:rtl/>
        </w:rPr>
        <w:t>דת הערובה ולכן אין מקום לטענתה.</w:t>
      </w:r>
      <w:r>
        <w:rPr>
          <w:rFonts w:ascii="Arial" w:hAnsi="Arial"/>
          <w:noProof w:val="0"/>
          <w:rtl/>
        </w:rPr>
        <w:t xml:space="preserve"> עוד טענו כי </w:t>
      </w:r>
      <w:r w:rsidR="00983107">
        <w:rPr>
          <w:rFonts w:ascii="Arial" w:hAnsi="Arial" w:hint="cs"/>
          <w:noProof w:val="0"/>
          <w:rtl/>
        </w:rPr>
        <w:t>ההחלטה</w:t>
      </w:r>
      <w:r>
        <w:rPr>
          <w:rFonts w:ascii="Arial" w:hAnsi="Arial"/>
          <w:noProof w:val="0"/>
          <w:rtl/>
        </w:rPr>
        <w:t xml:space="preserve"> בעניין מעיין נית</w:t>
      </w:r>
      <w:r w:rsidR="00983107">
        <w:rPr>
          <w:rFonts w:ascii="Arial" w:hAnsi="Arial" w:hint="cs"/>
          <w:noProof w:val="0"/>
          <w:rtl/>
        </w:rPr>
        <w:t>נה</w:t>
      </w:r>
      <w:r>
        <w:rPr>
          <w:rFonts w:ascii="Arial" w:hAnsi="Arial"/>
          <w:noProof w:val="0"/>
          <w:rtl/>
        </w:rPr>
        <w:t xml:space="preserve"> בהסתמך על מצב עובדתי שונה מהותית מזה הקיים בענייננו. שם </w:t>
      </w:r>
      <w:r w:rsidR="00983107">
        <w:rPr>
          <w:rFonts w:ascii="Arial" w:hAnsi="Arial" w:hint="cs"/>
          <w:noProof w:val="0"/>
          <w:rtl/>
        </w:rPr>
        <w:t>ניתנה ההחלטה</w:t>
      </w:r>
      <w:r>
        <w:rPr>
          <w:rFonts w:ascii="Arial" w:hAnsi="Arial"/>
          <w:noProof w:val="0"/>
          <w:rtl/>
        </w:rPr>
        <w:t xml:space="preserve"> בהסתמך על עובדה </w:t>
      </w:r>
      <w:r w:rsidR="00983107">
        <w:rPr>
          <w:rFonts w:ascii="Arial" w:hAnsi="Arial"/>
          <w:noProof w:val="0"/>
          <w:rtl/>
        </w:rPr>
        <w:t>שהוכחה לבית המשפט באמצעות תצהיר</w:t>
      </w:r>
      <w:r w:rsidR="00983107">
        <w:rPr>
          <w:rFonts w:ascii="Arial" w:hAnsi="Arial" w:hint="cs"/>
          <w:noProof w:val="0"/>
          <w:rtl/>
        </w:rPr>
        <w:t xml:space="preserve">, </w:t>
      </w:r>
      <w:r>
        <w:rPr>
          <w:rFonts w:ascii="Arial" w:hAnsi="Arial"/>
          <w:noProof w:val="0"/>
          <w:rtl/>
        </w:rPr>
        <w:t xml:space="preserve">אשר על פיה נשלחה פיזית ההודעה על הפקדת ערובה באמצעות מייל.  לא זה המקרה שלפנינו. </w:t>
      </w:r>
    </w:p>
    <w:p w:rsidR="00811A9E" w:rsidRDefault="00811A9E" w:rsidP="00811A9E">
      <w:pPr>
        <w:pStyle w:val="ad"/>
        <w:rPr>
          <w:rFonts w:ascii="Arial" w:hAnsi="Arial"/>
          <w:noProof w:val="0"/>
        </w:rPr>
      </w:pPr>
    </w:p>
    <w:p w:rsidR="00811A9E" w:rsidRDefault="003C5100" w:rsidP="00983107">
      <w:pPr>
        <w:pStyle w:val="ad"/>
        <w:numPr>
          <w:ilvl w:val="0"/>
          <w:numId w:val="1"/>
        </w:numPr>
        <w:spacing w:line="360" w:lineRule="auto"/>
        <w:jc w:val="both"/>
        <w:rPr>
          <w:rFonts w:ascii="Arial" w:hAnsi="Arial"/>
          <w:noProof w:val="0"/>
          <w:rtl/>
        </w:rPr>
      </w:pPr>
      <w:r>
        <w:rPr>
          <w:rFonts w:ascii="Arial" w:hAnsi="Arial"/>
          <w:noProof w:val="0"/>
          <w:rtl/>
        </w:rPr>
        <w:t>אשר להפקדת ערובה</w:t>
      </w:r>
      <w:r w:rsidR="00811A9E">
        <w:rPr>
          <w:rFonts w:ascii="Arial" w:hAnsi="Arial"/>
          <w:noProof w:val="0"/>
          <w:rtl/>
        </w:rPr>
        <w:t>, ט</w:t>
      </w:r>
      <w:r>
        <w:rPr>
          <w:rFonts w:ascii="Arial" w:hAnsi="Arial"/>
          <w:noProof w:val="0"/>
          <w:rtl/>
        </w:rPr>
        <w:t>ענו כי שלא כנטען על ידי המערערת</w:t>
      </w:r>
      <w:r w:rsidR="00811A9E">
        <w:rPr>
          <w:rFonts w:ascii="Arial" w:hAnsi="Arial"/>
          <w:noProof w:val="0"/>
          <w:rtl/>
        </w:rPr>
        <w:t>, לאחר שמטעמים טכניים הוחזר מלוא ס</w:t>
      </w:r>
      <w:r w:rsidR="00983107">
        <w:rPr>
          <w:rFonts w:ascii="Arial" w:hAnsi="Arial"/>
          <w:noProof w:val="0"/>
          <w:rtl/>
        </w:rPr>
        <w:t>כום הערובה שהופקדה על ידי משיבה</w:t>
      </w:r>
      <w:r w:rsidR="00983107">
        <w:rPr>
          <w:rFonts w:ascii="Arial" w:hAnsi="Arial" w:hint="cs"/>
          <w:noProof w:val="0"/>
          <w:rtl/>
        </w:rPr>
        <w:t>4,</w:t>
      </w:r>
      <w:r w:rsidR="00811A9E">
        <w:rPr>
          <w:rFonts w:ascii="Arial" w:hAnsi="Arial"/>
          <w:noProof w:val="0"/>
          <w:rtl/>
        </w:rPr>
        <w:t xml:space="preserve"> הן פעלו בהתאם להחלטת בית המש</w:t>
      </w:r>
      <w:r>
        <w:rPr>
          <w:rFonts w:ascii="Arial" w:hAnsi="Arial"/>
          <w:noProof w:val="0"/>
          <w:rtl/>
        </w:rPr>
        <w:t>פט וכל אחת מיחידי המשיבות הפקיד</w:t>
      </w:r>
      <w:r>
        <w:rPr>
          <w:rFonts w:ascii="Arial" w:hAnsi="Arial" w:hint="cs"/>
          <w:noProof w:val="0"/>
          <w:rtl/>
        </w:rPr>
        <w:t>ה</w:t>
      </w:r>
      <w:r w:rsidR="00811A9E">
        <w:rPr>
          <w:rFonts w:ascii="Arial" w:hAnsi="Arial"/>
          <w:noProof w:val="0"/>
          <w:rtl/>
        </w:rPr>
        <w:t xml:space="preserve"> את סכום הערובה מטעמה במועד</w:t>
      </w:r>
      <w:r w:rsidR="00983107">
        <w:rPr>
          <w:rFonts w:ascii="Arial" w:hAnsi="Arial" w:hint="cs"/>
          <w:noProof w:val="0"/>
          <w:rtl/>
        </w:rPr>
        <w:t>. לפיכך</w:t>
      </w:r>
      <w:r w:rsidR="00453844">
        <w:rPr>
          <w:rFonts w:ascii="Arial" w:hAnsi="Arial" w:hint="cs"/>
          <w:noProof w:val="0"/>
          <w:rtl/>
        </w:rPr>
        <w:t>,</w:t>
      </w:r>
      <w:r w:rsidR="00811A9E">
        <w:rPr>
          <w:rFonts w:ascii="Arial" w:hAnsi="Arial"/>
          <w:noProof w:val="0"/>
          <w:rtl/>
        </w:rPr>
        <w:t xml:space="preserve"> יש לדחות את טענת המערערת בעניין זה.</w:t>
      </w:r>
    </w:p>
    <w:p w:rsidR="00811A9E" w:rsidRDefault="00811A9E" w:rsidP="00811A9E">
      <w:pPr>
        <w:pStyle w:val="ad"/>
        <w:rPr>
          <w:rFonts w:ascii="Arial" w:hAnsi="Arial"/>
          <w:noProof w:val="0"/>
        </w:rPr>
      </w:pPr>
    </w:p>
    <w:p w:rsidR="00811A9E" w:rsidRDefault="00811A9E" w:rsidP="00811A9E">
      <w:pPr>
        <w:spacing w:line="360" w:lineRule="auto"/>
        <w:ind w:left="360"/>
        <w:jc w:val="both"/>
        <w:rPr>
          <w:rFonts w:ascii="Arial" w:hAnsi="Arial"/>
          <w:b/>
          <w:bCs/>
          <w:noProof w:val="0"/>
          <w:u w:val="single"/>
          <w:rtl/>
        </w:rPr>
      </w:pPr>
      <w:r>
        <w:rPr>
          <w:rFonts w:ascii="Arial" w:hAnsi="Arial"/>
          <w:b/>
          <w:bCs/>
          <w:noProof w:val="0"/>
          <w:u w:val="single"/>
          <w:rtl/>
        </w:rPr>
        <w:t>דיון והכרעה</w:t>
      </w:r>
    </w:p>
    <w:p w:rsidR="00811A9E" w:rsidRDefault="00811A9E" w:rsidP="00811A9E">
      <w:pPr>
        <w:pStyle w:val="ad"/>
        <w:rPr>
          <w:rFonts w:ascii="Arial" w:hAnsi="Arial"/>
          <w:noProof w:val="0"/>
        </w:rPr>
      </w:pPr>
    </w:p>
    <w:p w:rsidR="00811A9E" w:rsidRDefault="00811A9E" w:rsidP="00811A9E">
      <w:pPr>
        <w:pStyle w:val="ad"/>
        <w:numPr>
          <w:ilvl w:val="0"/>
          <w:numId w:val="1"/>
        </w:numPr>
        <w:spacing w:line="360" w:lineRule="auto"/>
        <w:jc w:val="both"/>
        <w:rPr>
          <w:rFonts w:ascii="Arial" w:hAnsi="Arial"/>
          <w:noProof w:val="0"/>
          <w:rtl/>
        </w:rPr>
      </w:pPr>
      <w:r>
        <w:rPr>
          <w:rFonts w:ascii="Arial" w:hAnsi="Arial"/>
          <w:noProof w:val="0"/>
          <w:rtl/>
        </w:rPr>
        <w:t>לאחר שעיינתי בבקשה ובתגובה</w:t>
      </w:r>
      <w:r w:rsidR="00453844">
        <w:rPr>
          <w:rFonts w:ascii="Arial" w:hAnsi="Arial" w:hint="cs"/>
          <w:noProof w:val="0"/>
          <w:rtl/>
        </w:rPr>
        <w:t>,</w:t>
      </w:r>
      <w:r>
        <w:rPr>
          <w:rFonts w:ascii="Arial" w:hAnsi="Arial"/>
          <w:noProof w:val="0"/>
          <w:rtl/>
        </w:rPr>
        <w:t xml:space="preserve"> החלטתי לדחות את הבקשה.</w:t>
      </w:r>
    </w:p>
    <w:p w:rsidR="00811A9E" w:rsidRDefault="00811A9E" w:rsidP="00811A9E">
      <w:pPr>
        <w:pStyle w:val="ad"/>
        <w:spacing w:line="360" w:lineRule="auto"/>
        <w:jc w:val="both"/>
        <w:rPr>
          <w:rFonts w:ascii="Arial" w:hAnsi="Arial"/>
          <w:noProof w:val="0"/>
        </w:rPr>
      </w:pPr>
    </w:p>
    <w:p w:rsidR="00811A9E" w:rsidRDefault="00811A9E" w:rsidP="00811A9E">
      <w:pPr>
        <w:spacing w:line="360" w:lineRule="auto"/>
        <w:ind w:left="360"/>
        <w:jc w:val="both"/>
        <w:rPr>
          <w:rFonts w:ascii="Arial" w:hAnsi="Arial"/>
          <w:b/>
          <w:bCs/>
          <w:noProof w:val="0"/>
          <w:u w:val="single"/>
        </w:rPr>
      </w:pPr>
      <w:r>
        <w:rPr>
          <w:rFonts w:ascii="Arial" w:hAnsi="Arial"/>
          <w:b/>
          <w:bCs/>
          <w:noProof w:val="0"/>
          <w:u w:val="single"/>
          <w:rtl/>
        </w:rPr>
        <w:t>המועד להגשת ערעור בהתאם לתקנות סדר הדין האזרחי</w:t>
      </w:r>
    </w:p>
    <w:p w:rsidR="00811A9E" w:rsidRDefault="00811A9E" w:rsidP="00811A9E">
      <w:pPr>
        <w:spacing w:line="360" w:lineRule="auto"/>
        <w:ind w:left="360"/>
        <w:jc w:val="both"/>
        <w:rPr>
          <w:rFonts w:ascii="Arial" w:hAnsi="Arial"/>
          <w:b/>
          <w:bCs/>
          <w:noProof w:val="0"/>
          <w:u w:val="single"/>
          <w:rtl/>
        </w:rPr>
      </w:pPr>
    </w:p>
    <w:p w:rsidR="00811A9E" w:rsidRDefault="00811A9E" w:rsidP="00811A9E">
      <w:pPr>
        <w:pStyle w:val="ad"/>
        <w:numPr>
          <w:ilvl w:val="0"/>
          <w:numId w:val="1"/>
        </w:numPr>
        <w:spacing w:line="360" w:lineRule="auto"/>
        <w:jc w:val="both"/>
        <w:rPr>
          <w:rFonts w:ascii="Arial" w:hAnsi="Arial"/>
          <w:noProof w:val="0"/>
        </w:rPr>
      </w:pPr>
      <w:r>
        <w:rPr>
          <w:rFonts w:ascii="Arial" w:hAnsi="Arial"/>
          <w:noProof w:val="0"/>
          <w:rtl/>
        </w:rPr>
        <w:t xml:space="preserve">תקנה 135 (א) קובעת כדלקמן: </w:t>
      </w:r>
      <w:r>
        <w:rPr>
          <w:rFonts w:ascii="Arial" w:hAnsi="Arial"/>
          <w:b/>
          <w:bCs/>
          <w:noProof w:val="0"/>
          <w:rtl/>
        </w:rPr>
        <w:t xml:space="preserve">"עם הגשת הערעור יפקיד המערער ערובה להבטחת הוצאות המשיבים בסכום הנקוב בתוספת השלישית </w:t>
      </w:r>
      <w:r>
        <w:rPr>
          <w:rFonts w:ascii="Arial" w:hAnsi="Arial"/>
          <w:b/>
          <w:bCs/>
          <w:noProof w:val="0"/>
          <w:u w:val="single"/>
          <w:rtl/>
        </w:rPr>
        <w:t xml:space="preserve">וימציא </w:t>
      </w:r>
      <w:r>
        <w:rPr>
          <w:rFonts w:ascii="Arial" w:hAnsi="Arial"/>
          <w:b/>
          <w:bCs/>
          <w:noProof w:val="0"/>
          <w:rtl/>
        </w:rPr>
        <w:t>הודעה על כך למשיב".</w:t>
      </w:r>
    </w:p>
    <w:p w:rsidR="00811A9E" w:rsidRDefault="00811A9E" w:rsidP="00811A9E">
      <w:pPr>
        <w:pStyle w:val="ad"/>
        <w:spacing w:line="360" w:lineRule="auto"/>
        <w:jc w:val="both"/>
        <w:rPr>
          <w:rFonts w:ascii="Arial" w:hAnsi="Arial"/>
          <w:noProof w:val="0"/>
        </w:rPr>
      </w:pPr>
    </w:p>
    <w:p w:rsidR="00811A9E" w:rsidRDefault="00811A9E" w:rsidP="00811A9E">
      <w:pPr>
        <w:pStyle w:val="ad"/>
        <w:numPr>
          <w:ilvl w:val="0"/>
          <w:numId w:val="1"/>
        </w:numPr>
        <w:spacing w:line="360" w:lineRule="auto"/>
        <w:jc w:val="both"/>
        <w:rPr>
          <w:rFonts w:ascii="Arial" w:hAnsi="Arial"/>
          <w:noProof w:val="0"/>
        </w:rPr>
      </w:pPr>
      <w:r>
        <w:rPr>
          <w:rFonts w:ascii="Arial" w:hAnsi="Arial"/>
          <w:noProof w:val="0"/>
          <w:rtl/>
        </w:rPr>
        <w:t xml:space="preserve">ובתקנה 137 נקבע כי: </w:t>
      </w:r>
    </w:p>
    <w:p w:rsidR="00811A9E" w:rsidRDefault="00811A9E" w:rsidP="00811A9E">
      <w:pPr>
        <w:pStyle w:val="ad"/>
        <w:spacing w:line="360" w:lineRule="auto"/>
        <w:jc w:val="both"/>
        <w:rPr>
          <w:rFonts w:ascii="Arial" w:hAnsi="Arial"/>
          <w:b/>
          <w:bCs/>
          <w:noProof w:val="0"/>
          <w:rtl/>
        </w:rPr>
      </w:pPr>
      <w:r>
        <w:rPr>
          <w:rFonts w:ascii="Arial" w:hAnsi="Arial"/>
          <w:b/>
          <w:bCs/>
          <w:noProof w:val="0"/>
          <w:rtl/>
        </w:rPr>
        <w:lastRenderedPageBreak/>
        <w:t>"(א)</w:t>
      </w:r>
      <w:r w:rsidR="00784819">
        <w:rPr>
          <w:rFonts w:ascii="Arial" w:hAnsi="Arial" w:hint="cs"/>
          <w:b/>
          <w:bCs/>
          <w:noProof w:val="0"/>
          <w:rtl/>
        </w:rPr>
        <w:t xml:space="preserve"> </w:t>
      </w:r>
      <w:r>
        <w:rPr>
          <w:rFonts w:ascii="Arial" w:hAnsi="Arial"/>
          <w:b/>
          <w:bCs/>
          <w:noProof w:val="0"/>
          <w:rtl/>
        </w:rPr>
        <w:t>המועד להגשת ערעור על החלטה הוא שישים ימים מיום שהומצאה.</w:t>
      </w:r>
    </w:p>
    <w:p w:rsidR="00811A9E" w:rsidRDefault="00811A9E" w:rsidP="00811A9E">
      <w:pPr>
        <w:pStyle w:val="ad"/>
        <w:spacing w:line="360" w:lineRule="auto"/>
        <w:jc w:val="both"/>
        <w:rPr>
          <w:rFonts w:ascii="Arial" w:hAnsi="Arial"/>
          <w:b/>
          <w:bCs/>
          <w:noProof w:val="0"/>
          <w:rtl/>
        </w:rPr>
      </w:pPr>
    </w:p>
    <w:p w:rsidR="00811A9E" w:rsidRDefault="00811A9E" w:rsidP="00811A9E">
      <w:pPr>
        <w:pStyle w:val="ad"/>
        <w:spacing w:line="360" w:lineRule="auto"/>
        <w:jc w:val="both"/>
        <w:rPr>
          <w:rFonts w:ascii="Arial" w:hAnsi="Arial"/>
          <w:noProof w:val="0"/>
          <w:rtl/>
        </w:rPr>
      </w:pPr>
      <w:r>
        <w:rPr>
          <w:rFonts w:ascii="Arial" w:hAnsi="Arial"/>
          <w:b/>
          <w:bCs/>
          <w:noProof w:val="0"/>
          <w:rtl/>
        </w:rPr>
        <w:t xml:space="preserve"> (ב)</w:t>
      </w:r>
      <w:r w:rsidR="00784819">
        <w:rPr>
          <w:rFonts w:ascii="Arial" w:hAnsi="Arial" w:hint="cs"/>
          <w:b/>
          <w:bCs/>
          <w:noProof w:val="0"/>
          <w:rtl/>
        </w:rPr>
        <w:t xml:space="preserve"> </w:t>
      </w:r>
      <w:r>
        <w:rPr>
          <w:rFonts w:ascii="Arial" w:hAnsi="Arial"/>
          <w:b/>
          <w:bCs/>
          <w:noProof w:val="0"/>
          <w:rtl/>
        </w:rPr>
        <w:t xml:space="preserve">על אף האמור בתקנת משנה (א), משיב בערעור רשאי להגיש ערעור בתוך שישים ימים מהיום שבו הומצא לו הערעור, או מהיום שבו הומצאה לו הודעה על הפקדת ערובה לפי תקנה 135, או מהיום שבו הומצאה לו החלטה על פטור מהפקדת ערובה, </w:t>
      </w:r>
      <w:r>
        <w:rPr>
          <w:rFonts w:ascii="Arial" w:hAnsi="Arial"/>
          <w:b/>
          <w:bCs/>
          <w:noProof w:val="0"/>
          <w:u w:val="single"/>
          <w:rtl/>
        </w:rPr>
        <w:t>לפי המאוחר</w:t>
      </w:r>
      <w:r>
        <w:rPr>
          <w:rFonts w:ascii="Arial" w:hAnsi="Arial"/>
          <w:b/>
          <w:bCs/>
          <w:noProof w:val="0"/>
          <w:rtl/>
        </w:rPr>
        <w:t>"</w:t>
      </w:r>
      <w:r>
        <w:rPr>
          <w:rFonts w:ascii="Arial" w:hAnsi="Arial"/>
          <w:noProof w:val="0"/>
          <w:rtl/>
        </w:rPr>
        <w:t xml:space="preserve"> (הדגשות הח"מ).</w:t>
      </w:r>
    </w:p>
    <w:p w:rsidR="00811A9E" w:rsidRDefault="00811A9E" w:rsidP="00811A9E">
      <w:pPr>
        <w:pStyle w:val="ad"/>
        <w:spacing w:line="360" w:lineRule="auto"/>
        <w:jc w:val="both"/>
        <w:rPr>
          <w:rFonts w:ascii="Arial" w:hAnsi="Arial"/>
          <w:noProof w:val="0"/>
          <w:rtl/>
        </w:rPr>
      </w:pPr>
    </w:p>
    <w:p w:rsidR="00811A9E" w:rsidRDefault="00811A9E" w:rsidP="00811A9E">
      <w:pPr>
        <w:pStyle w:val="ad"/>
        <w:numPr>
          <w:ilvl w:val="0"/>
          <w:numId w:val="1"/>
        </w:numPr>
        <w:spacing w:line="360" w:lineRule="auto"/>
        <w:jc w:val="both"/>
        <w:rPr>
          <w:rFonts w:ascii="Arial" w:hAnsi="Arial"/>
          <w:noProof w:val="0"/>
          <w:rtl/>
        </w:rPr>
      </w:pPr>
      <w:r>
        <w:rPr>
          <w:rFonts w:ascii="Arial" w:hAnsi="Arial"/>
          <w:noProof w:val="0"/>
          <w:rtl/>
        </w:rPr>
        <w:t>מלשון התקנות עולים בבירור הדברים הבאים:</w:t>
      </w:r>
    </w:p>
    <w:p w:rsidR="00811A9E" w:rsidRDefault="00811A9E" w:rsidP="00811A9E">
      <w:pPr>
        <w:pStyle w:val="ad"/>
        <w:spacing w:line="360" w:lineRule="auto"/>
        <w:jc w:val="both"/>
        <w:rPr>
          <w:rFonts w:ascii="Arial" w:hAnsi="Arial"/>
          <w:noProof w:val="0"/>
        </w:rPr>
      </w:pPr>
    </w:p>
    <w:p w:rsidR="00811A9E" w:rsidRDefault="00811A9E" w:rsidP="00811A9E">
      <w:pPr>
        <w:pStyle w:val="ad"/>
        <w:spacing w:line="360" w:lineRule="auto"/>
        <w:jc w:val="both"/>
        <w:rPr>
          <w:rFonts w:ascii="Arial" w:hAnsi="Arial"/>
          <w:noProof w:val="0"/>
          <w:rtl/>
        </w:rPr>
      </w:pPr>
      <w:r>
        <w:rPr>
          <w:rFonts w:ascii="Arial" w:hAnsi="Arial"/>
          <w:noProof w:val="0"/>
          <w:rtl/>
        </w:rPr>
        <w:t>על מערער מוטלת החובה להמציא למשיב לערעור הודעה על הפקדת הערובה על ידו.</w:t>
      </w:r>
    </w:p>
    <w:p w:rsidR="00811A9E" w:rsidRDefault="00811A9E" w:rsidP="00811A9E">
      <w:pPr>
        <w:pStyle w:val="ad"/>
        <w:spacing w:line="360" w:lineRule="auto"/>
        <w:jc w:val="both"/>
        <w:rPr>
          <w:rFonts w:ascii="Arial" w:hAnsi="Arial"/>
          <w:noProof w:val="0"/>
          <w:rtl/>
        </w:rPr>
      </w:pPr>
    </w:p>
    <w:p w:rsidR="00811A9E" w:rsidRDefault="00811A9E" w:rsidP="00811A9E">
      <w:pPr>
        <w:pStyle w:val="ad"/>
        <w:spacing w:line="360" w:lineRule="auto"/>
        <w:jc w:val="both"/>
        <w:rPr>
          <w:rFonts w:ascii="Arial" w:hAnsi="Arial"/>
          <w:noProof w:val="0"/>
          <w:rtl/>
        </w:rPr>
      </w:pPr>
      <w:r>
        <w:rPr>
          <w:rFonts w:ascii="Arial" w:hAnsi="Arial"/>
          <w:noProof w:val="0"/>
          <w:rtl/>
        </w:rPr>
        <w:t>באפשרות המשיב להגיש ערעור מטעמו תוך 60 ימים מהמועד שבו הומצאה לו ההודעה על הפקדת הערובה, אשר כאמור החובה להמציאה מוטלת על המערער.</w:t>
      </w:r>
    </w:p>
    <w:p w:rsidR="00811A9E" w:rsidRDefault="00811A9E" w:rsidP="00811A9E">
      <w:pPr>
        <w:pStyle w:val="ad"/>
        <w:spacing w:line="360" w:lineRule="auto"/>
        <w:jc w:val="both"/>
        <w:rPr>
          <w:rFonts w:ascii="Arial" w:hAnsi="Arial"/>
          <w:noProof w:val="0"/>
          <w:rtl/>
        </w:rPr>
      </w:pPr>
    </w:p>
    <w:p w:rsidR="00811A9E" w:rsidRDefault="00811A9E" w:rsidP="00811A9E">
      <w:pPr>
        <w:pStyle w:val="ad"/>
        <w:spacing w:line="360" w:lineRule="auto"/>
        <w:jc w:val="both"/>
        <w:rPr>
          <w:rFonts w:ascii="Arial" w:hAnsi="Arial"/>
          <w:noProof w:val="0"/>
          <w:rtl/>
        </w:rPr>
      </w:pPr>
      <w:r>
        <w:rPr>
          <w:rFonts w:ascii="Arial" w:hAnsi="Arial"/>
          <w:noProof w:val="0"/>
          <w:rtl/>
        </w:rPr>
        <w:t xml:space="preserve">מניין 60 הימים יחל מהמועד המאוחר מבין החלופות שפורטו בתקנה 137 (ב). </w:t>
      </w:r>
    </w:p>
    <w:p w:rsidR="00811A9E" w:rsidRDefault="00811A9E" w:rsidP="00811A9E">
      <w:pPr>
        <w:spacing w:line="360" w:lineRule="auto"/>
        <w:jc w:val="both"/>
        <w:rPr>
          <w:rFonts w:ascii="Arial" w:hAnsi="Arial"/>
          <w:noProof w:val="0"/>
          <w:rtl/>
        </w:rPr>
      </w:pPr>
    </w:p>
    <w:p w:rsidR="00811A9E" w:rsidRDefault="00811A9E" w:rsidP="00811A9E">
      <w:pPr>
        <w:spacing w:line="360" w:lineRule="auto"/>
        <w:ind w:firstLine="360"/>
        <w:jc w:val="both"/>
        <w:rPr>
          <w:rFonts w:ascii="Arial" w:hAnsi="Arial"/>
          <w:b/>
          <w:bCs/>
          <w:noProof w:val="0"/>
          <w:u w:val="single"/>
          <w:rtl/>
        </w:rPr>
      </w:pPr>
      <w:r>
        <w:rPr>
          <w:rFonts w:ascii="Arial" w:hAnsi="Arial"/>
          <w:b/>
          <w:bCs/>
          <w:noProof w:val="0"/>
          <w:u w:val="single"/>
          <w:rtl/>
        </w:rPr>
        <w:t>המשיבות לא אחרו בהגשת הערעור</w:t>
      </w:r>
    </w:p>
    <w:p w:rsidR="00811A9E" w:rsidRDefault="00811A9E" w:rsidP="00811A9E">
      <w:pPr>
        <w:pStyle w:val="ad"/>
        <w:spacing w:line="360" w:lineRule="auto"/>
        <w:jc w:val="both"/>
        <w:rPr>
          <w:rFonts w:ascii="Arial" w:hAnsi="Arial"/>
          <w:noProof w:val="0"/>
        </w:rPr>
      </w:pPr>
    </w:p>
    <w:p w:rsidR="00811A9E" w:rsidRDefault="00811A9E" w:rsidP="00A0793E">
      <w:pPr>
        <w:pStyle w:val="ad"/>
        <w:numPr>
          <w:ilvl w:val="0"/>
          <w:numId w:val="1"/>
        </w:numPr>
        <w:spacing w:line="360" w:lineRule="auto"/>
        <w:jc w:val="both"/>
        <w:rPr>
          <w:rFonts w:ascii="Arial" w:hAnsi="Arial"/>
          <w:noProof w:val="0"/>
        </w:rPr>
      </w:pPr>
      <w:r>
        <w:rPr>
          <w:rFonts w:ascii="Arial" w:hAnsi="Arial"/>
          <w:noProof w:val="0"/>
          <w:rtl/>
        </w:rPr>
        <w:t>המערערת לא המציאה ואף לא טענה כי ה</w:t>
      </w:r>
      <w:r w:rsidR="00453844">
        <w:rPr>
          <w:rFonts w:ascii="Arial" w:hAnsi="Arial"/>
          <w:noProof w:val="0"/>
          <w:rtl/>
        </w:rPr>
        <w:t xml:space="preserve">מציאה למשיבות </w:t>
      </w:r>
      <w:r w:rsidR="00A0793E">
        <w:rPr>
          <w:rFonts w:ascii="Arial" w:hAnsi="Arial"/>
          <w:noProof w:val="0"/>
          <w:rtl/>
        </w:rPr>
        <w:t xml:space="preserve">הודעה על הפקדת </w:t>
      </w:r>
      <w:r>
        <w:rPr>
          <w:rFonts w:ascii="Arial" w:hAnsi="Arial"/>
          <w:noProof w:val="0"/>
          <w:rtl/>
        </w:rPr>
        <w:t xml:space="preserve">ערובה על ידה.   </w:t>
      </w:r>
    </w:p>
    <w:p w:rsidR="00811A9E" w:rsidRDefault="00811A9E" w:rsidP="00811A9E">
      <w:pPr>
        <w:pStyle w:val="ad"/>
        <w:spacing w:line="360" w:lineRule="auto"/>
        <w:jc w:val="both"/>
        <w:rPr>
          <w:rFonts w:ascii="Arial" w:hAnsi="Arial"/>
          <w:noProof w:val="0"/>
        </w:rPr>
      </w:pPr>
    </w:p>
    <w:p w:rsidR="00811A9E" w:rsidRDefault="00811A9E" w:rsidP="00811A9E">
      <w:pPr>
        <w:pStyle w:val="ad"/>
        <w:numPr>
          <w:ilvl w:val="0"/>
          <w:numId w:val="1"/>
        </w:numPr>
        <w:spacing w:line="360" w:lineRule="auto"/>
        <w:jc w:val="both"/>
        <w:rPr>
          <w:rFonts w:ascii="Arial" w:hAnsi="Arial"/>
          <w:noProof w:val="0"/>
        </w:rPr>
      </w:pPr>
      <w:r>
        <w:rPr>
          <w:rFonts w:ascii="Arial" w:hAnsi="Arial"/>
          <w:noProof w:val="0"/>
          <w:rtl/>
        </w:rPr>
        <w:t xml:space="preserve">מעיון בהחלטה מיום 20.2.2023 שכללה מתן הנחיות להגשת כתב תשובה לערעור עולה כי זו אינה כוללת כל התייחסות לעניין הפקדת הערובה על ידי המערערת. כך עולה גם מעיון בזימון שנשלח לצדדים ביום 21.2.2023.  </w:t>
      </w:r>
    </w:p>
    <w:p w:rsidR="00811A9E" w:rsidRDefault="00811A9E" w:rsidP="00811A9E">
      <w:pPr>
        <w:pStyle w:val="ad"/>
        <w:rPr>
          <w:rFonts w:ascii="Arial" w:hAnsi="Arial"/>
          <w:noProof w:val="0"/>
        </w:rPr>
      </w:pPr>
    </w:p>
    <w:p w:rsidR="00811A9E" w:rsidRDefault="00811A9E" w:rsidP="00A0793E">
      <w:pPr>
        <w:pStyle w:val="ad"/>
        <w:numPr>
          <w:ilvl w:val="0"/>
          <w:numId w:val="1"/>
        </w:numPr>
        <w:spacing w:line="360" w:lineRule="auto"/>
        <w:jc w:val="both"/>
        <w:rPr>
          <w:rFonts w:ascii="Arial" w:hAnsi="Arial"/>
          <w:noProof w:val="0"/>
          <w:rtl/>
        </w:rPr>
      </w:pPr>
      <w:r>
        <w:rPr>
          <w:rFonts w:ascii="Arial" w:hAnsi="Arial"/>
          <w:noProof w:val="0"/>
          <w:rtl/>
        </w:rPr>
        <w:t>בהודעת הערעור שהגישו המשיבות ביום 15.5.2023 הן כתבו במפו</w:t>
      </w:r>
      <w:r w:rsidR="006066B6">
        <w:rPr>
          <w:rFonts w:ascii="Arial" w:hAnsi="Arial"/>
          <w:noProof w:val="0"/>
          <w:rtl/>
        </w:rPr>
        <w:t>רש בעמוד הראשון של כתב הערעור</w:t>
      </w:r>
      <w:r>
        <w:rPr>
          <w:rFonts w:ascii="Arial" w:hAnsi="Arial"/>
          <w:noProof w:val="0"/>
          <w:rtl/>
        </w:rPr>
        <w:t xml:space="preserve"> בחלק המתייחס למועד הקבוע להגשת כתב הערעור כי </w:t>
      </w:r>
      <w:r>
        <w:rPr>
          <w:rFonts w:ascii="Arial" w:hAnsi="Arial"/>
          <w:b/>
          <w:bCs/>
          <w:noProof w:val="0"/>
          <w:rtl/>
        </w:rPr>
        <w:t>"לא הגיע עדיין המועד באשר טרם הומצאה למערערת הודעת המשיבה על הפקדת הערובה מטעמה בערעור הע</w:t>
      </w:r>
      <w:r w:rsidR="006066B6">
        <w:rPr>
          <w:rFonts w:ascii="Arial" w:hAnsi="Arial" w:hint="cs"/>
          <w:b/>
          <w:bCs/>
          <w:noProof w:val="0"/>
          <w:rtl/>
        </w:rPr>
        <w:t>י</w:t>
      </w:r>
      <w:r>
        <w:rPr>
          <w:rFonts w:ascii="Arial" w:hAnsi="Arial"/>
          <w:b/>
          <w:bCs/>
          <w:noProof w:val="0"/>
          <w:rtl/>
        </w:rPr>
        <w:t>קרי, בהתאם לתקנה 135 וכמתחייב מהוראות תקנה 137 (ב) לתקנות"</w:t>
      </w:r>
      <w:r>
        <w:rPr>
          <w:rFonts w:ascii="Arial" w:hAnsi="Arial"/>
          <w:noProof w:val="0"/>
          <w:rtl/>
        </w:rPr>
        <w:t>.</w:t>
      </w:r>
    </w:p>
    <w:p w:rsidR="00811A9E" w:rsidRDefault="00811A9E" w:rsidP="00811A9E">
      <w:pPr>
        <w:pStyle w:val="ad"/>
        <w:rPr>
          <w:rFonts w:ascii="Arial" w:hAnsi="Arial"/>
          <w:noProof w:val="0"/>
        </w:rPr>
      </w:pPr>
    </w:p>
    <w:p w:rsidR="00811A9E" w:rsidRDefault="00811A9E" w:rsidP="00811A9E">
      <w:pPr>
        <w:pStyle w:val="ad"/>
        <w:rPr>
          <w:rFonts w:ascii="Arial" w:hAnsi="Arial"/>
          <w:noProof w:val="0"/>
          <w:rtl/>
        </w:rPr>
      </w:pPr>
    </w:p>
    <w:p w:rsidR="009D171A" w:rsidRDefault="00811A9E" w:rsidP="00A773CD">
      <w:pPr>
        <w:pStyle w:val="ad"/>
        <w:numPr>
          <w:ilvl w:val="0"/>
          <w:numId w:val="1"/>
        </w:numPr>
        <w:spacing w:line="360" w:lineRule="auto"/>
        <w:jc w:val="both"/>
        <w:rPr>
          <w:rFonts w:ascii="Arial" w:hAnsi="Arial"/>
          <w:noProof w:val="0"/>
        </w:rPr>
      </w:pPr>
      <w:r>
        <w:rPr>
          <w:rFonts w:ascii="Arial" w:hAnsi="Arial"/>
          <w:noProof w:val="0"/>
          <w:rtl/>
        </w:rPr>
        <w:lastRenderedPageBreak/>
        <w:t>בנסיבות אלה, משהמערערת עצמה לא קיימה את חובת ההודעה על</w:t>
      </w:r>
      <w:r w:rsidR="006066B6">
        <w:rPr>
          <w:rFonts w:ascii="Arial" w:hAnsi="Arial"/>
          <w:noProof w:val="0"/>
          <w:rtl/>
        </w:rPr>
        <w:t xml:space="preserve"> הפקדת הערובה המוטלת עליה מכוח </w:t>
      </w:r>
      <w:r>
        <w:rPr>
          <w:rFonts w:ascii="Arial" w:hAnsi="Arial"/>
          <w:noProof w:val="0"/>
          <w:rtl/>
        </w:rPr>
        <w:t xml:space="preserve">תקנה 135 (א), בהעדר החלטה או מסמך אחר שנמסר למשיבות הכולל הודעה בדבר הפקדת ערובה ולאור הדברים שנכתבו מפורשות בכותרת כתב הערעור </w:t>
      </w:r>
      <w:r w:rsidR="006066B6">
        <w:rPr>
          <w:rFonts w:ascii="Arial" w:hAnsi="Arial" w:hint="cs"/>
          <w:noProof w:val="0"/>
          <w:rtl/>
        </w:rPr>
        <w:t>ש</w:t>
      </w:r>
      <w:r w:rsidR="006066B6">
        <w:rPr>
          <w:rFonts w:ascii="Arial" w:hAnsi="Arial"/>
          <w:noProof w:val="0"/>
          <w:rtl/>
        </w:rPr>
        <w:t xml:space="preserve">הגישו המשיבות </w:t>
      </w:r>
      <w:r>
        <w:rPr>
          <w:rFonts w:ascii="Arial" w:hAnsi="Arial"/>
          <w:noProof w:val="0"/>
          <w:rtl/>
        </w:rPr>
        <w:t>שהובאו לעיל, לא היה מקום להגשת הבקשה מלכתחילה. במיוחד הדברים אמורים</w:t>
      </w:r>
      <w:r w:rsidR="006066B6">
        <w:rPr>
          <w:rFonts w:ascii="Arial" w:hAnsi="Arial" w:hint="cs"/>
          <w:noProof w:val="0"/>
          <w:rtl/>
        </w:rPr>
        <w:t>,</w:t>
      </w:r>
      <w:r>
        <w:rPr>
          <w:rFonts w:ascii="Arial" w:hAnsi="Arial"/>
          <w:noProof w:val="0"/>
          <w:rtl/>
        </w:rPr>
        <w:t xml:space="preserve"> מקום בו </w:t>
      </w:r>
      <w:r w:rsidR="00A0793E">
        <w:rPr>
          <w:rFonts w:ascii="Arial" w:hAnsi="Arial" w:hint="cs"/>
          <w:noProof w:val="0"/>
          <w:rtl/>
        </w:rPr>
        <w:t>ערעור המשיבות</w:t>
      </w:r>
      <w:r>
        <w:rPr>
          <w:rFonts w:ascii="Arial" w:hAnsi="Arial"/>
          <w:noProof w:val="0"/>
          <w:rtl/>
        </w:rPr>
        <w:t xml:space="preserve"> הוגש ביום 15.5.2023 סמוך להגשת כתב התשובה מטעמן לכתב הערעור העיקרי אותו הגישו ביום 9.5.2023. </w:t>
      </w:r>
    </w:p>
    <w:p w:rsidR="00811A9E" w:rsidRDefault="00811A9E" w:rsidP="00811A9E">
      <w:pPr>
        <w:spacing w:line="360" w:lineRule="auto"/>
        <w:ind w:left="360"/>
        <w:jc w:val="both"/>
        <w:rPr>
          <w:rFonts w:ascii="Arial" w:hAnsi="Arial"/>
          <w:noProof w:val="0"/>
        </w:rPr>
      </w:pPr>
    </w:p>
    <w:p w:rsidR="00811A9E" w:rsidRDefault="00811A9E" w:rsidP="00A0793E">
      <w:pPr>
        <w:pStyle w:val="ad"/>
        <w:numPr>
          <w:ilvl w:val="0"/>
          <w:numId w:val="1"/>
        </w:numPr>
        <w:spacing w:line="360" w:lineRule="auto"/>
        <w:jc w:val="both"/>
        <w:rPr>
          <w:rFonts w:ascii="Arial" w:hAnsi="Arial"/>
          <w:noProof w:val="0"/>
        </w:rPr>
      </w:pPr>
      <w:r>
        <w:rPr>
          <w:rFonts w:ascii="Arial" w:hAnsi="Arial"/>
          <w:noProof w:val="0"/>
          <w:rtl/>
        </w:rPr>
        <w:t xml:space="preserve">לא זו בלבד </w:t>
      </w:r>
      <w:r w:rsidR="00A0793E">
        <w:rPr>
          <w:rFonts w:ascii="Arial" w:hAnsi="Arial" w:hint="cs"/>
          <w:noProof w:val="0"/>
          <w:rtl/>
        </w:rPr>
        <w:t>שההחלטה</w:t>
      </w:r>
      <w:r>
        <w:rPr>
          <w:rFonts w:ascii="Arial" w:hAnsi="Arial"/>
          <w:noProof w:val="0"/>
          <w:rtl/>
        </w:rPr>
        <w:t xml:space="preserve"> בעניין עיריית חד</w:t>
      </w:r>
      <w:r w:rsidR="00A0793E">
        <w:rPr>
          <w:rFonts w:ascii="Arial" w:hAnsi="Arial"/>
          <w:noProof w:val="0"/>
          <w:rtl/>
        </w:rPr>
        <w:t>רה אלי</w:t>
      </w:r>
      <w:r w:rsidR="00A0793E">
        <w:rPr>
          <w:rFonts w:ascii="Arial" w:hAnsi="Arial" w:hint="cs"/>
          <w:noProof w:val="0"/>
          <w:rtl/>
        </w:rPr>
        <w:t>ה</w:t>
      </w:r>
      <w:r w:rsidR="00A0793E">
        <w:rPr>
          <w:rFonts w:ascii="Arial" w:hAnsi="Arial"/>
          <w:noProof w:val="0"/>
          <w:rtl/>
        </w:rPr>
        <w:t xml:space="preserve"> מפנה המערערת אינ</w:t>
      </w:r>
      <w:r w:rsidR="00A0793E">
        <w:rPr>
          <w:rFonts w:ascii="Arial" w:hAnsi="Arial" w:hint="cs"/>
          <w:noProof w:val="0"/>
          <w:rtl/>
        </w:rPr>
        <w:t>ה</w:t>
      </w:r>
      <w:r w:rsidR="00A0793E">
        <w:rPr>
          <w:rFonts w:ascii="Arial" w:hAnsi="Arial"/>
          <w:noProof w:val="0"/>
          <w:rtl/>
        </w:rPr>
        <w:t xml:space="preserve"> תומ</w:t>
      </w:r>
      <w:r w:rsidR="00A0793E">
        <w:rPr>
          <w:rFonts w:ascii="Arial" w:hAnsi="Arial" w:hint="cs"/>
          <w:noProof w:val="0"/>
          <w:rtl/>
        </w:rPr>
        <w:t>כת</w:t>
      </w:r>
      <w:r>
        <w:rPr>
          <w:rFonts w:ascii="Arial" w:hAnsi="Arial"/>
          <w:noProof w:val="0"/>
          <w:rtl/>
        </w:rPr>
        <w:t xml:space="preserve"> בעמדתה</w:t>
      </w:r>
      <w:r w:rsidR="006066B6">
        <w:rPr>
          <w:rFonts w:ascii="Arial" w:hAnsi="Arial" w:hint="cs"/>
          <w:noProof w:val="0"/>
          <w:rtl/>
        </w:rPr>
        <w:t>,</w:t>
      </w:r>
      <w:r>
        <w:rPr>
          <w:rFonts w:ascii="Arial" w:hAnsi="Arial"/>
          <w:noProof w:val="0"/>
          <w:rtl/>
        </w:rPr>
        <w:t xml:space="preserve"> אלא </w:t>
      </w:r>
      <w:r w:rsidR="00A0793E">
        <w:rPr>
          <w:rFonts w:ascii="Arial" w:hAnsi="Arial" w:hint="cs"/>
          <w:noProof w:val="0"/>
          <w:rtl/>
        </w:rPr>
        <w:t>שהיא תומכת</w:t>
      </w:r>
      <w:r>
        <w:rPr>
          <w:rFonts w:ascii="Arial" w:hAnsi="Arial"/>
          <w:noProof w:val="0"/>
          <w:rtl/>
        </w:rPr>
        <w:t xml:space="preserve"> בטענת המשיבות. </w:t>
      </w:r>
      <w:r w:rsidR="00A0793E">
        <w:rPr>
          <w:rFonts w:ascii="Arial" w:hAnsi="Arial" w:hint="cs"/>
          <w:noProof w:val="0"/>
          <w:rtl/>
        </w:rPr>
        <w:t>באותה החלטה</w:t>
      </w:r>
      <w:r>
        <w:rPr>
          <w:rFonts w:ascii="Arial" w:hAnsi="Arial"/>
          <w:noProof w:val="0"/>
          <w:rtl/>
        </w:rPr>
        <w:t xml:space="preserve"> הועלו בין היתר שתי טענות הדומות לטענות שמעלה המערערת כאן. כך נטען, כי המשיבות שם יכלו לדעת כי הערובה הופקדה באמצעות בדיקה באתר בית המשפט העליון. בנוסף</w:t>
      </w:r>
      <w:r w:rsidR="006066B6">
        <w:rPr>
          <w:rFonts w:ascii="Arial" w:hAnsi="Arial" w:hint="cs"/>
          <w:noProof w:val="0"/>
          <w:rtl/>
        </w:rPr>
        <w:t>,</w:t>
      </w:r>
      <w:r>
        <w:rPr>
          <w:rFonts w:ascii="Arial" w:hAnsi="Arial"/>
          <w:noProof w:val="0"/>
          <w:rtl/>
        </w:rPr>
        <w:t xml:space="preserve"> נטען כי לכל הפחות ביום שבו ניתנה החלטה של בית המשפט הק</w:t>
      </w:r>
      <w:r w:rsidR="007C1E0A">
        <w:rPr>
          <w:rFonts w:ascii="Arial" w:hAnsi="Arial"/>
          <w:noProof w:val="0"/>
          <w:rtl/>
        </w:rPr>
        <w:t>ובעת את ההליך לדיון ומורה למשיב</w:t>
      </w:r>
      <w:r w:rsidR="007C1E0A">
        <w:rPr>
          <w:rFonts w:ascii="Arial" w:hAnsi="Arial" w:hint="cs"/>
          <w:noProof w:val="0"/>
          <w:rtl/>
        </w:rPr>
        <w:t>ות</w:t>
      </w:r>
      <w:r>
        <w:rPr>
          <w:rFonts w:ascii="Arial" w:hAnsi="Arial"/>
          <w:noProof w:val="0"/>
          <w:rtl/>
        </w:rPr>
        <w:t xml:space="preserve"> להגיש תשובה לערעור</w:t>
      </w:r>
      <w:r w:rsidR="00527E58">
        <w:rPr>
          <w:rFonts w:ascii="Arial" w:hAnsi="Arial" w:hint="cs"/>
          <w:noProof w:val="0"/>
          <w:rtl/>
        </w:rPr>
        <w:t>,</w:t>
      </w:r>
      <w:r w:rsidR="007C1E0A">
        <w:rPr>
          <w:rFonts w:ascii="Arial" w:hAnsi="Arial"/>
          <w:noProof w:val="0"/>
          <w:rtl/>
        </w:rPr>
        <w:t xml:space="preserve"> היה על</w:t>
      </w:r>
      <w:r w:rsidR="007C1E0A">
        <w:rPr>
          <w:rFonts w:ascii="Arial" w:hAnsi="Arial" w:hint="cs"/>
          <w:noProof w:val="0"/>
          <w:rtl/>
        </w:rPr>
        <w:t xml:space="preserve">יהן </w:t>
      </w:r>
      <w:r>
        <w:rPr>
          <w:rFonts w:ascii="Arial" w:hAnsi="Arial"/>
          <w:noProof w:val="0"/>
          <w:rtl/>
        </w:rPr>
        <w:t>להבין שהופקדה ערובה ולכן לכל המאוחר במועד זה החל מני</w:t>
      </w:r>
      <w:r w:rsidR="007C1E0A">
        <w:rPr>
          <w:rFonts w:ascii="Arial" w:hAnsi="Arial" w:hint="cs"/>
          <w:noProof w:val="0"/>
          <w:rtl/>
        </w:rPr>
        <w:t>י</w:t>
      </w:r>
      <w:r w:rsidR="007C1E0A">
        <w:rPr>
          <w:rFonts w:ascii="Arial" w:hAnsi="Arial"/>
          <w:noProof w:val="0"/>
          <w:rtl/>
        </w:rPr>
        <w:t>ן הימים להגשת ערעור המשיב</w:t>
      </w:r>
      <w:r w:rsidR="007C1E0A">
        <w:rPr>
          <w:rFonts w:ascii="Arial" w:hAnsi="Arial" w:hint="cs"/>
          <w:noProof w:val="0"/>
          <w:rtl/>
        </w:rPr>
        <w:t>ות</w:t>
      </w:r>
      <w:r>
        <w:rPr>
          <w:rFonts w:ascii="Arial" w:hAnsi="Arial"/>
          <w:noProof w:val="0"/>
          <w:rtl/>
        </w:rPr>
        <w:t xml:space="preserve"> (ראו סעיף 8). על כך </w:t>
      </w:r>
      <w:r w:rsidR="00A0793E">
        <w:rPr>
          <w:rFonts w:ascii="Arial" w:hAnsi="Arial" w:hint="cs"/>
          <w:noProof w:val="0"/>
          <w:rtl/>
        </w:rPr>
        <w:t>קובעת</w:t>
      </w:r>
      <w:r>
        <w:rPr>
          <w:rFonts w:ascii="Arial" w:hAnsi="Arial"/>
          <w:noProof w:val="0"/>
          <w:rtl/>
        </w:rPr>
        <w:t xml:space="preserve"> כב' הרשמת קרן אזולאי כדלקמן: </w:t>
      </w:r>
    </w:p>
    <w:p w:rsidR="00811A9E" w:rsidRDefault="00811A9E" w:rsidP="00811A9E">
      <w:pPr>
        <w:pStyle w:val="ad"/>
      </w:pPr>
    </w:p>
    <w:p w:rsidR="00811A9E" w:rsidRPr="009D171A" w:rsidRDefault="00811A9E" w:rsidP="00104AFB">
      <w:pPr>
        <w:pStyle w:val="ad"/>
        <w:spacing w:line="360" w:lineRule="auto"/>
        <w:jc w:val="both"/>
        <w:rPr>
          <w:rFonts w:ascii="Arial" w:hAnsi="Arial"/>
          <w:b/>
          <w:bCs/>
          <w:noProof w:val="0"/>
          <w:rtl/>
        </w:rPr>
      </w:pPr>
      <w:r>
        <w:rPr>
          <w:rtl/>
        </w:rPr>
        <w:t>"</w:t>
      </w:r>
      <w:r w:rsidRPr="009D171A">
        <w:rPr>
          <w:b/>
          <w:bCs/>
          <w:rtl/>
        </w:rPr>
        <w:t xml:space="preserve">טענות אלה מעוררות שאלה באשר להיקף החובה המוטלת על משיב לערעור לברר אם הופקדה ערובה, ובאשר להיקף הידיעה שיש לייחס למשיב על כך שהופקדה ערובה, גם אם לא נמסרה לו הודעה על כך מהמערער. ככלל, אין להתעלם מכך שמחוקק המשנה הטיל את האחריות על המערער ליידע את המשיב על כך שהפקיד את הערובה הנדרשת. ההצדקה לכך ברורה. המידע במלואו מצוי אצל המערער או המערערת – הם יודעים מה המועד שבו הוגש הערעור ואם הערובה הופקדה באותו מועד או שהוגשה בקשה לדחיית המועד להפקדתה או למתן פטור (או כל בקשה אחרת בעניין זה). על כן, כל עוד המערערים לא פועלים בהתאם לחובתם, ומיידעים את המשיב על הפקדת הערובה, הם נוטלים את הסיכון לכך שהמועד להגשת ערעור משיב יוארך. במצב דברים זה, סבורתני כי אין הצדקה לקבוע כלל גורף לפיו מוטלת על המשיב חובה אקטיבית לבדוק אם הערובה הופקדה בכל מקרה. מסקנה כזו משמעה שינוי ברירת המחדל שנקבעה בתקנות, והעברת האחריות מהמערער למשיב. קביעת כלל גורף כאמור גם תביא למצב שבו מערערים כלל לא יהיו חייבים להמציא הודעה על הפקדת הערובה, כיוון שיניחו שעל המשיבים מוטלת האחריות לברר אם הערובה הופקדה". </w:t>
      </w:r>
    </w:p>
    <w:p w:rsidR="00811A9E" w:rsidRDefault="00811A9E" w:rsidP="00811A9E">
      <w:pPr>
        <w:pStyle w:val="ad"/>
        <w:rPr>
          <w:rFonts w:ascii="Arial" w:hAnsi="Arial"/>
          <w:b/>
          <w:bCs/>
          <w:noProof w:val="0"/>
        </w:rPr>
      </w:pPr>
    </w:p>
    <w:p w:rsidR="00811A9E" w:rsidRDefault="00811A9E" w:rsidP="00ED30CB">
      <w:pPr>
        <w:pStyle w:val="ad"/>
        <w:numPr>
          <w:ilvl w:val="0"/>
          <w:numId w:val="1"/>
        </w:numPr>
        <w:spacing w:line="360" w:lineRule="auto"/>
        <w:jc w:val="both"/>
        <w:rPr>
          <w:rFonts w:ascii="Arial" w:hAnsi="Arial"/>
          <w:noProof w:val="0"/>
          <w:rtl/>
        </w:rPr>
      </w:pPr>
      <w:r>
        <w:rPr>
          <w:rFonts w:ascii="Arial" w:hAnsi="Arial"/>
          <w:noProof w:val="0"/>
          <w:rtl/>
        </w:rPr>
        <w:t>כב' הרשמת אמ</w:t>
      </w:r>
      <w:r w:rsidR="007C1E0A">
        <w:rPr>
          <w:rFonts w:ascii="Arial" w:hAnsi="Arial"/>
          <w:noProof w:val="0"/>
          <w:rtl/>
        </w:rPr>
        <w:t xml:space="preserve">נם ציינה כי ייתכן ויהיו נסיבות </w:t>
      </w:r>
      <w:r>
        <w:rPr>
          <w:rFonts w:ascii="Arial" w:hAnsi="Arial"/>
          <w:noProof w:val="0"/>
          <w:rtl/>
        </w:rPr>
        <w:t>בהן יהיה מצופה שמשיב יפעל לברר אם הופקדה ערובה באופן שיהיה בו כדי להשפיע על שאלת המועד להגשת ערעור משיב</w:t>
      </w:r>
      <w:r w:rsidR="007C1E0A">
        <w:rPr>
          <w:rFonts w:ascii="Arial" w:hAnsi="Arial" w:hint="cs"/>
          <w:noProof w:val="0"/>
          <w:rtl/>
        </w:rPr>
        <w:t>,</w:t>
      </w:r>
      <w:r>
        <w:rPr>
          <w:rFonts w:ascii="Arial" w:hAnsi="Arial"/>
          <w:noProof w:val="0"/>
          <w:rtl/>
        </w:rPr>
        <w:t xml:space="preserve"> אך לא </w:t>
      </w:r>
      <w:r>
        <w:rPr>
          <w:rFonts w:ascii="Arial" w:hAnsi="Arial"/>
          <w:noProof w:val="0"/>
          <w:rtl/>
        </w:rPr>
        <w:lastRenderedPageBreak/>
        <w:t>מצאה לנכון לקבוע בגדרי ההליך שהתנהל בפניה מהן אותן נסיבות. הדברים נכונים גם במקרה דנן. המשיבות לא השתהו ובסמוך לאחר הגשת כתב התשובה לערעור העיקרי</w:t>
      </w:r>
      <w:r w:rsidR="007C1E0A">
        <w:rPr>
          <w:rFonts w:ascii="Arial" w:hAnsi="Arial" w:hint="cs"/>
          <w:noProof w:val="0"/>
          <w:rtl/>
        </w:rPr>
        <w:t>,</w:t>
      </w:r>
      <w:r>
        <w:rPr>
          <w:rFonts w:ascii="Arial" w:hAnsi="Arial"/>
          <w:noProof w:val="0"/>
          <w:rtl/>
        </w:rPr>
        <w:t xml:space="preserve"> הגישו את ערעורן תוך התייחסות</w:t>
      </w:r>
      <w:r w:rsidR="00784819">
        <w:rPr>
          <w:rFonts w:ascii="Arial" w:hAnsi="Arial" w:hint="cs"/>
          <w:noProof w:val="0"/>
          <w:rtl/>
        </w:rPr>
        <w:t xml:space="preserve"> מפורשת</w:t>
      </w:r>
      <w:r>
        <w:rPr>
          <w:rFonts w:ascii="Arial" w:hAnsi="Arial"/>
          <w:noProof w:val="0"/>
          <w:rtl/>
        </w:rPr>
        <w:t xml:space="preserve"> בכותרת הערעור למועד הגשתו שלדבריהן טרם הגיע. </w:t>
      </w:r>
      <w:r w:rsidR="00A773CD">
        <w:rPr>
          <w:rFonts w:ascii="Arial" w:hAnsi="Arial" w:hint="cs"/>
          <w:noProof w:val="0"/>
          <w:rtl/>
        </w:rPr>
        <w:t xml:space="preserve">בנסיבות </w:t>
      </w:r>
      <w:r w:rsidR="00ED30CB">
        <w:rPr>
          <w:rFonts w:ascii="Arial" w:hAnsi="Arial" w:hint="cs"/>
          <w:noProof w:val="0"/>
          <w:rtl/>
        </w:rPr>
        <w:t xml:space="preserve">אלה לא היה מקום </w:t>
      </w:r>
      <w:r w:rsidR="00784819">
        <w:rPr>
          <w:rFonts w:ascii="Arial" w:hAnsi="Arial" w:hint="cs"/>
          <w:noProof w:val="0"/>
          <w:rtl/>
        </w:rPr>
        <w:t>ליחס למשיבות ידיעה קונסטרוקטיבית</w:t>
      </w:r>
      <w:r w:rsidR="00ED30CB">
        <w:rPr>
          <w:rFonts w:ascii="Arial" w:hAnsi="Arial" w:hint="cs"/>
          <w:noProof w:val="0"/>
          <w:rtl/>
        </w:rPr>
        <w:t xml:space="preserve"> ו</w:t>
      </w:r>
      <w:r w:rsidR="00A773CD">
        <w:rPr>
          <w:rFonts w:ascii="Arial" w:hAnsi="Arial" w:hint="cs"/>
          <w:noProof w:val="0"/>
          <w:rtl/>
        </w:rPr>
        <w:t>בוודאי שלא היה מקום לטעון כי התנהלותן אינה בתום לב ו</w:t>
      </w:r>
      <w:r w:rsidR="00784819">
        <w:rPr>
          <w:rFonts w:ascii="Arial" w:hAnsi="Arial" w:hint="cs"/>
          <w:noProof w:val="0"/>
          <w:rtl/>
        </w:rPr>
        <w:t>מנוגדת ל</w:t>
      </w:r>
      <w:r w:rsidR="00A773CD">
        <w:rPr>
          <w:rFonts w:ascii="Arial" w:hAnsi="Arial" w:hint="cs"/>
          <w:noProof w:val="0"/>
          <w:rtl/>
        </w:rPr>
        <w:t xml:space="preserve">הגינות דיונית. </w:t>
      </w:r>
    </w:p>
    <w:p w:rsidR="00811A9E" w:rsidRDefault="00811A9E" w:rsidP="00811A9E">
      <w:pPr>
        <w:pStyle w:val="ad"/>
        <w:spacing w:line="360" w:lineRule="auto"/>
        <w:jc w:val="both"/>
        <w:rPr>
          <w:rFonts w:ascii="Arial" w:hAnsi="Arial"/>
          <w:noProof w:val="0"/>
        </w:rPr>
      </w:pPr>
      <w:r>
        <w:rPr>
          <w:rFonts w:ascii="Arial" w:hAnsi="Arial"/>
          <w:noProof w:val="0"/>
          <w:rtl/>
        </w:rPr>
        <w:t xml:space="preserve"> </w:t>
      </w:r>
    </w:p>
    <w:p w:rsidR="00811A9E" w:rsidRDefault="00811A9E" w:rsidP="00C3146A">
      <w:pPr>
        <w:pStyle w:val="ad"/>
        <w:numPr>
          <w:ilvl w:val="0"/>
          <w:numId w:val="1"/>
        </w:numPr>
        <w:spacing w:line="360" w:lineRule="auto"/>
        <w:jc w:val="both"/>
        <w:rPr>
          <w:rFonts w:ascii="Arial" w:hAnsi="Arial"/>
          <w:noProof w:val="0"/>
        </w:rPr>
      </w:pPr>
      <w:r>
        <w:rPr>
          <w:rFonts w:ascii="Arial" w:hAnsi="Arial"/>
          <w:noProof w:val="0"/>
          <w:rtl/>
        </w:rPr>
        <w:t>עיינתי גם בהחלטה בעניין מעיין  אלי</w:t>
      </w:r>
      <w:r w:rsidR="00C3146A">
        <w:rPr>
          <w:rFonts w:ascii="Arial" w:hAnsi="Arial" w:hint="cs"/>
          <w:noProof w:val="0"/>
          <w:rtl/>
        </w:rPr>
        <w:t>ה</w:t>
      </w:r>
      <w:r>
        <w:rPr>
          <w:rFonts w:ascii="Arial" w:hAnsi="Arial"/>
          <w:noProof w:val="0"/>
          <w:rtl/>
        </w:rPr>
        <w:t xml:space="preserve"> הפנתה המערערת אשר לטענתה בנסיבות כאלה בית המשפט המחוזי מצא לחייב בהוצאות את מי שנהג באופן דומה למשיבות כאן. בעניין זה אני מקבל את עמדת המשיבות כי ההחלטה שם ניתנה בהסתמך על מצב עובדתי שונה מהותית מזה הקיים בענייננו. באותו עניין הוצגה הודעת דואר אלקטרוני מזמן אמת אליה צורפה הודעה על הפקדת עירבון כאשר עובדה זו נתמכה בתצהיר. זאת, בנוסף לטענות נוספות לרבות הגשת תשובה לכתב הערעור שהוגש שם על ידי מגישי כתב הערעור שכנגד  מבלי שהעלו טענה כי לא קיבלו כתבי כי דין כלשהם ולאחר שהתברר כי בא כוחם עיין בתיק. מכל מקום</w:t>
      </w:r>
      <w:r w:rsidR="006D4F4F">
        <w:rPr>
          <w:rFonts w:ascii="Arial" w:hAnsi="Arial" w:hint="cs"/>
          <w:noProof w:val="0"/>
          <w:rtl/>
        </w:rPr>
        <w:t>,</w:t>
      </w:r>
      <w:r>
        <w:rPr>
          <w:rFonts w:ascii="Arial" w:hAnsi="Arial"/>
          <w:noProof w:val="0"/>
          <w:rtl/>
        </w:rPr>
        <w:t xml:space="preserve"> גם באותו עניין בית המשפט המחוזי לא מצא להורות על מחיקת הערעור הנגדי אלא בחר בדרך של פתרון מידתי של הארכת מועד להגשתו תוך חיוב בהוצאות.</w:t>
      </w:r>
    </w:p>
    <w:p w:rsidR="00811A9E" w:rsidRDefault="00811A9E" w:rsidP="00811A9E">
      <w:pPr>
        <w:pStyle w:val="ad"/>
        <w:rPr>
          <w:rFonts w:ascii="Arial" w:hAnsi="Arial"/>
          <w:noProof w:val="0"/>
        </w:rPr>
      </w:pPr>
    </w:p>
    <w:p w:rsidR="00811A9E" w:rsidRDefault="00811A9E" w:rsidP="00811A9E">
      <w:pPr>
        <w:pStyle w:val="ad"/>
        <w:numPr>
          <w:ilvl w:val="0"/>
          <w:numId w:val="1"/>
        </w:numPr>
        <w:spacing w:line="360" w:lineRule="auto"/>
        <w:jc w:val="both"/>
        <w:rPr>
          <w:rFonts w:ascii="Arial" w:hAnsi="Arial"/>
          <w:noProof w:val="0"/>
          <w:rtl/>
        </w:rPr>
      </w:pPr>
      <w:r>
        <w:rPr>
          <w:rFonts w:ascii="Arial" w:hAnsi="Arial"/>
          <w:noProof w:val="0"/>
          <w:rtl/>
        </w:rPr>
        <w:t xml:space="preserve"> לאור כל האמור</w:t>
      </w:r>
      <w:r w:rsidR="006D4F4F">
        <w:rPr>
          <w:rFonts w:ascii="Arial" w:hAnsi="Arial" w:hint="cs"/>
          <w:noProof w:val="0"/>
          <w:rtl/>
        </w:rPr>
        <w:t>,</w:t>
      </w:r>
      <w:r w:rsidR="006D4F4F">
        <w:rPr>
          <w:rFonts w:ascii="Arial" w:hAnsi="Arial"/>
          <w:noProof w:val="0"/>
          <w:rtl/>
        </w:rPr>
        <w:t xml:space="preserve"> נחה דעתי </w:t>
      </w:r>
      <w:r w:rsidR="006D4F4F">
        <w:rPr>
          <w:rFonts w:ascii="Arial" w:hAnsi="Arial" w:hint="cs"/>
          <w:noProof w:val="0"/>
          <w:rtl/>
        </w:rPr>
        <w:t>כ</w:t>
      </w:r>
      <w:r>
        <w:rPr>
          <w:rFonts w:ascii="Arial" w:hAnsi="Arial"/>
          <w:noProof w:val="0"/>
          <w:rtl/>
        </w:rPr>
        <w:t xml:space="preserve">י ערעור המשיבות הוגש במועדו. </w:t>
      </w:r>
    </w:p>
    <w:p w:rsidR="00811A9E" w:rsidRDefault="00811A9E" w:rsidP="00811A9E">
      <w:pPr>
        <w:pStyle w:val="ad"/>
        <w:rPr>
          <w:rFonts w:ascii="Arial" w:hAnsi="Arial"/>
          <w:noProof w:val="0"/>
        </w:rPr>
      </w:pPr>
    </w:p>
    <w:p w:rsidR="00811A9E" w:rsidRDefault="00811A9E" w:rsidP="00811A9E">
      <w:pPr>
        <w:spacing w:line="360" w:lineRule="auto"/>
        <w:ind w:left="360"/>
        <w:jc w:val="both"/>
        <w:rPr>
          <w:rFonts w:ascii="Arial" w:hAnsi="Arial"/>
          <w:b/>
          <w:bCs/>
          <w:noProof w:val="0"/>
          <w:u w:val="single"/>
          <w:rtl/>
        </w:rPr>
      </w:pPr>
      <w:r>
        <w:rPr>
          <w:rFonts w:ascii="Arial" w:hAnsi="Arial"/>
          <w:b/>
          <w:bCs/>
          <w:noProof w:val="0"/>
          <w:u w:val="single"/>
          <w:rtl/>
        </w:rPr>
        <w:t xml:space="preserve">המשיבות הפקידו ערובה </w:t>
      </w:r>
    </w:p>
    <w:p w:rsidR="00811A9E" w:rsidRDefault="00811A9E" w:rsidP="00811A9E">
      <w:pPr>
        <w:spacing w:line="360" w:lineRule="auto"/>
        <w:jc w:val="both"/>
        <w:rPr>
          <w:rFonts w:ascii="Arial" w:hAnsi="Arial"/>
          <w:b/>
          <w:bCs/>
          <w:noProof w:val="0"/>
          <w:u w:val="single"/>
          <w:rtl/>
        </w:rPr>
      </w:pPr>
    </w:p>
    <w:p w:rsidR="00811A9E" w:rsidRDefault="00811A9E" w:rsidP="00811A9E">
      <w:pPr>
        <w:pStyle w:val="ad"/>
        <w:numPr>
          <w:ilvl w:val="0"/>
          <w:numId w:val="1"/>
        </w:numPr>
        <w:spacing w:line="360" w:lineRule="auto"/>
        <w:jc w:val="both"/>
        <w:rPr>
          <w:rFonts w:ascii="Arial" w:hAnsi="Arial"/>
          <w:b/>
          <w:bCs/>
          <w:noProof w:val="0"/>
        </w:rPr>
      </w:pPr>
      <w:r>
        <w:rPr>
          <w:rFonts w:ascii="Arial" w:hAnsi="Arial"/>
          <w:noProof w:val="0"/>
          <w:rtl/>
        </w:rPr>
        <w:t>מעיון בתיק עולה כי ביום 18.5.2023 עתרו המשיבות בבקשה להשיב להן את הערובה ב</w:t>
      </w:r>
      <w:r w:rsidR="006D4F4F">
        <w:rPr>
          <w:rFonts w:ascii="Arial" w:hAnsi="Arial"/>
          <w:noProof w:val="0"/>
          <w:rtl/>
        </w:rPr>
        <w:t>סך של 20,000 ₪ שהפקידה המשיבה 4</w:t>
      </w:r>
      <w:r>
        <w:rPr>
          <w:rFonts w:ascii="Arial" w:hAnsi="Arial"/>
          <w:noProof w:val="0"/>
          <w:rtl/>
        </w:rPr>
        <w:t xml:space="preserve">, עו"ד בטי אשורי לבדה ולהמירה בשתי העברות   נפרדות בסך של 10,000 ₪ כל אחת אשר יופקדו על ידי כל אחת מהמשיבות בנפרד. בהחלטה מיום 21.5.2023  כב' השופט אטדגי נעתר לבקשה והורה כי המשיבות תפקדנה את הערבויות החלופיות בתוך 7 </w:t>
      </w:r>
      <w:r w:rsidR="006D4F4F">
        <w:rPr>
          <w:rFonts w:ascii="Arial" w:hAnsi="Arial" w:hint="cs"/>
          <w:noProof w:val="0"/>
          <w:rtl/>
        </w:rPr>
        <w:t xml:space="preserve">ימים </w:t>
      </w:r>
      <w:r>
        <w:rPr>
          <w:rFonts w:ascii="Arial" w:hAnsi="Arial"/>
          <w:noProof w:val="0"/>
          <w:rtl/>
        </w:rPr>
        <w:t>מיום קבלת הערבות הנוכחית. מעיון בתיק הכספי עולה כי אכן כל אחת מיחידות המשיבות הפקידה את סכום הערובה כנדרש.</w:t>
      </w:r>
      <w:r>
        <w:rPr>
          <w:rFonts w:ascii="Arial" w:hAnsi="Arial"/>
          <w:b/>
          <w:bCs/>
          <w:noProof w:val="0"/>
          <w:rtl/>
        </w:rPr>
        <w:t xml:space="preserve">  </w:t>
      </w:r>
    </w:p>
    <w:p w:rsidR="00811A9E" w:rsidRDefault="00811A9E" w:rsidP="00811A9E">
      <w:pPr>
        <w:pStyle w:val="ad"/>
        <w:spacing w:line="360" w:lineRule="auto"/>
        <w:jc w:val="both"/>
        <w:rPr>
          <w:rFonts w:ascii="Arial" w:hAnsi="Arial"/>
          <w:b/>
          <w:bCs/>
          <w:noProof w:val="0"/>
        </w:rPr>
      </w:pPr>
    </w:p>
    <w:p w:rsidR="00811A9E" w:rsidRDefault="00811A9E" w:rsidP="00811A9E">
      <w:pPr>
        <w:spacing w:line="360" w:lineRule="auto"/>
        <w:ind w:left="360"/>
        <w:jc w:val="both"/>
        <w:rPr>
          <w:rFonts w:ascii="Arial" w:hAnsi="Arial"/>
          <w:b/>
          <w:bCs/>
          <w:noProof w:val="0"/>
          <w:u w:val="single"/>
          <w:rtl/>
        </w:rPr>
      </w:pPr>
      <w:r>
        <w:rPr>
          <w:rFonts w:ascii="Arial" w:hAnsi="Arial"/>
          <w:b/>
          <w:bCs/>
          <w:noProof w:val="0"/>
          <w:u w:val="single"/>
          <w:rtl/>
        </w:rPr>
        <w:t xml:space="preserve">סוף דבר </w:t>
      </w:r>
    </w:p>
    <w:p w:rsidR="0070132C" w:rsidRDefault="0070132C" w:rsidP="00811A9E">
      <w:pPr>
        <w:spacing w:line="360" w:lineRule="auto"/>
        <w:ind w:left="360"/>
        <w:jc w:val="both"/>
        <w:rPr>
          <w:rFonts w:ascii="Arial" w:hAnsi="Arial"/>
          <w:b/>
          <w:bCs/>
          <w:noProof w:val="0"/>
          <w:u w:val="single"/>
        </w:rPr>
      </w:pPr>
    </w:p>
    <w:p w:rsidR="00811A9E" w:rsidRDefault="00811A9E" w:rsidP="00811A9E">
      <w:pPr>
        <w:pStyle w:val="ad"/>
        <w:numPr>
          <w:ilvl w:val="0"/>
          <w:numId w:val="1"/>
        </w:numPr>
        <w:spacing w:line="360" w:lineRule="auto"/>
        <w:jc w:val="both"/>
        <w:rPr>
          <w:rFonts w:ascii="Arial" w:hAnsi="Arial"/>
          <w:noProof w:val="0"/>
        </w:rPr>
      </w:pPr>
      <w:r>
        <w:rPr>
          <w:rFonts w:ascii="Arial" w:hAnsi="Arial"/>
          <w:noProof w:val="0"/>
          <w:rtl/>
        </w:rPr>
        <w:t>לאור כל האמור</w:t>
      </w:r>
      <w:r w:rsidR="006D4F4F">
        <w:rPr>
          <w:rFonts w:ascii="Arial" w:hAnsi="Arial" w:hint="cs"/>
          <w:noProof w:val="0"/>
          <w:rtl/>
        </w:rPr>
        <w:t>,</w:t>
      </w:r>
      <w:r>
        <w:rPr>
          <w:rFonts w:ascii="Arial" w:hAnsi="Arial"/>
          <w:noProof w:val="0"/>
          <w:rtl/>
        </w:rPr>
        <w:t xml:space="preserve"> הבקשה למחיקת ערעור המשיבות  בשל איחור בהגשתו ובשל אי הפקדת ערובה נדחית. המערערת תשלם למשיבות הוצאות בסך של 3,000 ₪. </w:t>
      </w:r>
    </w:p>
    <w:p w:rsidR="00811A9E" w:rsidRDefault="00811A9E" w:rsidP="00811A9E">
      <w:pPr>
        <w:pStyle w:val="ad"/>
        <w:spacing w:line="360" w:lineRule="auto"/>
        <w:jc w:val="both"/>
        <w:rPr>
          <w:rFonts w:ascii="Arial" w:hAnsi="Arial"/>
          <w:noProof w:val="0"/>
        </w:rPr>
      </w:pPr>
    </w:p>
    <w:p w:rsidR="00811A9E" w:rsidRDefault="00811A9E" w:rsidP="00811A9E">
      <w:pPr>
        <w:pStyle w:val="ad"/>
        <w:numPr>
          <w:ilvl w:val="0"/>
          <w:numId w:val="1"/>
        </w:numPr>
        <w:spacing w:line="360" w:lineRule="auto"/>
        <w:jc w:val="both"/>
        <w:rPr>
          <w:rFonts w:ascii="Arial" w:hAnsi="Arial"/>
          <w:noProof w:val="0"/>
        </w:rPr>
      </w:pPr>
      <w:r>
        <w:rPr>
          <w:rFonts w:ascii="Arial" w:hAnsi="Arial"/>
          <w:noProof w:val="0"/>
          <w:rtl/>
        </w:rPr>
        <w:lastRenderedPageBreak/>
        <w:t>החלטתי ניתנה בכובעי כרשם.</w:t>
      </w:r>
    </w:p>
    <w:p w:rsidR="00811A9E" w:rsidRDefault="00811A9E" w:rsidP="00811A9E">
      <w:pPr>
        <w:spacing w:line="360" w:lineRule="auto"/>
        <w:ind w:left="360"/>
        <w:jc w:val="both"/>
        <w:rPr>
          <w:rFonts w:ascii="Arial" w:hAnsi="Arial"/>
          <w:noProof w:val="0"/>
        </w:rPr>
      </w:pPr>
    </w:p>
    <w:p w:rsidR="00811A9E" w:rsidRDefault="00811A9E" w:rsidP="00811A9E">
      <w:pPr>
        <w:spacing w:line="360" w:lineRule="auto"/>
        <w:ind w:left="360"/>
        <w:jc w:val="both"/>
        <w:rPr>
          <w:rFonts w:ascii="Arial" w:hAnsi="Arial"/>
          <w:b/>
          <w:bCs/>
          <w:noProof w:val="0"/>
          <w:rtl/>
        </w:rPr>
      </w:pPr>
      <w:r>
        <w:rPr>
          <w:rFonts w:ascii="Arial" w:hAnsi="Arial"/>
          <w:b/>
          <w:bCs/>
          <w:noProof w:val="0"/>
          <w:rtl/>
        </w:rPr>
        <w:t xml:space="preserve">המזכירות תשלח החלטתי לצדדים. </w:t>
      </w:r>
    </w:p>
    <w:p w:rsidR="00811A9E" w:rsidRDefault="00811A9E" w:rsidP="00811A9E">
      <w:pPr>
        <w:spacing w:line="360" w:lineRule="auto"/>
        <w:jc w:val="both"/>
        <w:rPr>
          <w:rFonts w:ascii="Arial" w:hAnsi="Arial"/>
          <w:b/>
          <w:bCs/>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כ"ז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16 יולי 2023</w:t>
          </w:r>
        </w:sdtContent>
      </w:sdt>
      <w:r w:rsidR="00005C8B">
        <w:rPr>
          <w:rFonts w:ascii="Arial" w:hAnsi="Arial"/>
          <w:noProof w:val="0"/>
          <w:rtl/>
        </w:rPr>
        <w:t>, בהעדר הצדדים.</w:t>
      </w:r>
    </w:p>
    <w:p w:rsidR="00C43648" w:rsidRDefault="00DF6C6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33307918"/>
        </w:sdtPr>
        <w:sdtEndPr/>
        <w:sdtContent>
          <w:r w:rsidR="00493BB3">
            <w:drawing>
              <wp:inline distT="0" distB="0" distL="0" distR="0" wp14:editId="50D07946">
                <wp:extent cx="981074"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81074" cy="13716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F5DB6">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C6B" w:rsidRDefault="00DF6C6B">
      <w:r>
        <w:separator/>
      </w:r>
    </w:p>
  </w:endnote>
  <w:endnote w:type="continuationSeparator" w:id="0">
    <w:p w:rsidR="00DF6C6B" w:rsidRDefault="00DF6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789" w:rsidRDefault="0096778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C19A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C19A5">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789" w:rsidRDefault="0096778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C6B" w:rsidRDefault="00DF6C6B">
      <w:r>
        <w:separator/>
      </w:r>
    </w:p>
  </w:footnote>
  <w:footnote w:type="continuationSeparator" w:id="0">
    <w:p w:rsidR="00DF6C6B" w:rsidRDefault="00DF6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789" w:rsidRDefault="0096778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B95A71">
      <w:trPr>
        <w:trHeight w:hRule="exact" w:val="993"/>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FA4EAF">
      <w:trPr>
        <w:trHeight w:val="337"/>
        <w:jc w:val="center"/>
      </w:trPr>
      <w:tc>
        <w:tcPr>
          <w:tcW w:w="8721" w:type="dxa"/>
          <w:gridSpan w:val="2"/>
        </w:tcPr>
        <w:p w:rsidR="007D45E3" w:rsidRPr="00FA4EAF" w:rsidRDefault="00DF6C6B" w:rsidP="007D45E3">
          <w:pPr>
            <w:rPr>
              <w:b/>
              <w:bCs/>
              <w:noProof w:val="0"/>
              <w:sz w:val="26"/>
              <w:szCs w:val="26"/>
              <w:rtl/>
            </w:rPr>
          </w:pPr>
          <w:sdt>
            <w:sdtPr>
              <w:rPr>
                <w:sz w:val="26"/>
                <w:szCs w:val="26"/>
                <w:rtl/>
              </w:rPr>
              <w:alias w:val="1170"/>
              <w:tag w:val="1170"/>
              <w:id w:val="1066377040"/>
              <w:text w:multiLine="1"/>
            </w:sdtPr>
            <w:sdtEndPr/>
            <w:sdtContent>
              <w:r w:rsidR="001F5DB6">
                <w:rPr>
                  <w:b/>
                  <w:bCs/>
                  <w:noProof w:val="0"/>
                  <w:sz w:val="26"/>
                  <w:szCs w:val="26"/>
                  <w:rtl/>
                </w:rPr>
                <w:t>ע"א</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1F5DB6">
                <w:rPr>
                  <w:b/>
                  <w:bCs/>
                  <w:noProof w:val="0"/>
                  <w:sz w:val="26"/>
                  <w:szCs w:val="26"/>
                  <w:rtl/>
                </w:rPr>
                <w:t>5112-02-23</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1F5DB6">
                <w:rPr>
                  <w:b/>
                  <w:bCs/>
                  <w:noProof w:val="0"/>
                  <w:sz w:val="26"/>
                  <w:szCs w:val="26"/>
                  <w:rtl/>
                </w:rPr>
                <w:t>אמיר ואח' נ' דודקמן ואח'</w:t>
              </w:r>
            </w:sdtContent>
          </w:sdt>
        </w:p>
        <w:p w:rsidR="007D45E3" w:rsidRPr="00FA4EAF" w:rsidRDefault="007D45E3" w:rsidP="007D45E3">
          <w:pPr>
            <w:rPr>
              <w:b/>
              <w:bCs/>
              <w:noProof w:val="0"/>
              <w:sz w:val="26"/>
              <w:szCs w:val="26"/>
              <w:rtl/>
            </w:rPr>
          </w:pPr>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789" w:rsidRDefault="0096778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D34917"/>
    <w:multiLevelType w:val="hybridMultilevel"/>
    <w:tmpl w:val="3FC27B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4BB"/>
    <w:rsid w:val="000E3AF1"/>
    <w:rsid w:val="000F0BC8"/>
    <w:rsid w:val="000F0DD6"/>
    <w:rsid w:val="00104AFB"/>
    <w:rsid w:val="00107E6D"/>
    <w:rsid w:val="0011194C"/>
    <w:rsid w:val="0011424C"/>
    <w:rsid w:val="001173C6"/>
    <w:rsid w:val="001367BC"/>
    <w:rsid w:val="00144D2A"/>
    <w:rsid w:val="0014653E"/>
    <w:rsid w:val="00180519"/>
    <w:rsid w:val="00191C82"/>
    <w:rsid w:val="001B48A4"/>
    <w:rsid w:val="001C3FD7"/>
    <w:rsid w:val="001C4003"/>
    <w:rsid w:val="001D3441"/>
    <w:rsid w:val="001D4DBF"/>
    <w:rsid w:val="001E75CA"/>
    <w:rsid w:val="001F5DB6"/>
    <w:rsid w:val="002265FF"/>
    <w:rsid w:val="00271B56"/>
    <w:rsid w:val="00291593"/>
    <w:rsid w:val="002C344E"/>
    <w:rsid w:val="002E75E9"/>
    <w:rsid w:val="00307A6A"/>
    <w:rsid w:val="00307C40"/>
    <w:rsid w:val="00316745"/>
    <w:rsid w:val="00320433"/>
    <w:rsid w:val="003230C7"/>
    <w:rsid w:val="00327E50"/>
    <w:rsid w:val="0033597A"/>
    <w:rsid w:val="00343D89"/>
    <w:rsid w:val="00362612"/>
    <w:rsid w:val="0036743F"/>
    <w:rsid w:val="003715DD"/>
    <w:rsid w:val="003763AB"/>
    <w:rsid w:val="003823E0"/>
    <w:rsid w:val="00383978"/>
    <w:rsid w:val="003A4521"/>
    <w:rsid w:val="003C5100"/>
    <w:rsid w:val="003D1C8C"/>
    <w:rsid w:val="0040096C"/>
    <w:rsid w:val="00414F1F"/>
    <w:rsid w:val="0043125D"/>
    <w:rsid w:val="00431ACF"/>
    <w:rsid w:val="0043502B"/>
    <w:rsid w:val="004443AC"/>
    <w:rsid w:val="00451E28"/>
    <w:rsid w:val="00453844"/>
    <w:rsid w:val="00462C62"/>
    <w:rsid w:val="00465D36"/>
    <w:rsid w:val="00493BB3"/>
    <w:rsid w:val="004C17EE"/>
    <w:rsid w:val="004C4BDF"/>
    <w:rsid w:val="004D1187"/>
    <w:rsid w:val="004D3AA0"/>
    <w:rsid w:val="004E1987"/>
    <w:rsid w:val="004E2E15"/>
    <w:rsid w:val="004E6E3C"/>
    <w:rsid w:val="00520898"/>
    <w:rsid w:val="00523621"/>
    <w:rsid w:val="00524986"/>
    <w:rsid w:val="005268F6"/>
    <w:rsid w:val="00527E58"/>
    <w:rsid w:val="00534284"/>
    <w:rsid w:val="0054494A"/>
    <w:rsid w:val="00547DB7"/>
    <w:rsid w:val="005F4F09"/>
    <w:rsid w:val="006066B6"/>
    <w:rsid w:val="0061431B"/>
    <w:rsid w:val="00617CEE"/>
    <w:rsid w:val="00622BAA"/>
    <w:rsid w:val="006306CF"/>
    <w:rsid w:val="00644E9A"/>
    <w:rsid w:val="00671BD5"/>
    <w:rsid w:val="006805C1"/>
    <w:rsid w:val="00686C21"/>
    <w:rsid w:val="006931C1"/>
    <w:rsid w:val="00694556"/>
    <w:rsid w:val="006C30C5"/>
    <w:rsid w:val="006D3B31"/>
    <w:rsid w:val="006D4F4F"/>
    <w:rsid w:val="006E0D96"/>
    <w:rsid w:val="006E1A53"/>
    <w:rsid w:val="006F56E6"/>
    <w:rsid w:val="0070132C"/>
    <w:rsid w:val="00703412"/>
    <w:rsid w:val="00704EDA"/>
    <w:rsid w:val="00721122"/>
    <w:rsid w:val="00744B1C"/>
    <w:rsid w:val="00746187"/>
    <w:rsid w:val="00753019"/>
    <w:rsid w:val="00754801"/>
    <w:rsid w:val="00784819"/>
    <w:rsid w:val="00795365"/>
    <w:rsid w:val="007A351D"/>
    <w:rsid w:val="007B7765"/>
    <w:rsid w:val="007C1E0A"/>
    <w:rsid w:val="007C5BDD"/>
    <w:rsid w:val="007D45E3"/>
    <w:rsid w:val="007E6115"/>
    <w:rsid w:val="007F4609"/>
    <w:rsid w:val="00811A9E"/>
    <w:rsid w:val="008176A1"/>
    <w:rsid w:val="00820005"/>
    <w:rsid w:val="00844318"/>
    <w:rsid w:val="00863F5D"/>
    <w:rsid w:val="00870890"/>
    <w:rsid w:val="00873602"/>
    <w:rsid w:val="00875D12"/>
    <w:rsid w:val="008800CD"/>
    <w:rsid w:val="0088479D"/>
    <w:rsid w:val="00896889"/>
    <w:rsid w:val="008C5714"/>
    <w:rsid w:val="008D10B2"/>
    <w:rsid w:val="00903896"/>
    <w:rsid w:val="00906F3D"/>
    <w:rsid w:val="0094424E"/>
    <w:rsid w:val="00955642"/>
    <w:rsid w:val="009622DF"/>
    <w:rsid w:val="00967789"/>
    <w:rsid w:val="00967DFF"/>
    <w:rsid w:val="009771F0"/>
    <w:rsid w:val="00983107"/>
    <w:rsid w:val="00994341"/>
    <w:rsid w:val="009B4939"/>
    <w:rsid w:val="009C19A5"/>
    <w:rsid w:val="009D171A"/>
    <w:rsid w:val="009D1A48"/>
    <w:rsid w:val="009E1CE7"/>
    <w:rsid w:val="009E4EA5"/>
    <w:rsid w:val="009F164B"/>
    <w:rsid w:val="009F323C"/>
    <w:rsid w:val="00A0793E"/>
    <w:rsid w:val="00A3392B"/>
    <w:rsid w:val="00A47358"/>
    <w:rsid w:val="00A773CD"/>
    <w:rsid w:val="00A94B64"/>
    <w:rsid w:val="00AA3229"/>
    <w:rsid w:val="00AA7596"/>
    <w:rsid w:val="00AB5E52"/>
    <w:rsid w:val="00AC3B02"/>
    <w:rsid w:val="00AC3B7B"/>
    <w:rsid w:val="00AC5209"/>
    <w:rsid w:val="00AD00A6"/>
    <w:rsid w:val="00AE729E"/>
    <w:rsid w:val="00AE7752"/>
    <w:rsid w:val="00AF7FDA"/>
    <w:rsid w:val="00B5356E"/>
    <w:rsid w:val="00B809AD"/>
    <w:rsid w:val="00B80CBD"/>
    <w:rsid w:val="00B86096"/>
    <w:rsid w:val="00B95A71"/>
    <w:rsid w:val="00B964D9"/>
    <w:rsid w:val="00BA0A7C"/>
    <w:rsid w:val="00BA517C"/>
    <w:rsid w:val="00BB3D05"/>
    <w:rsid w:val="00BB73BE"/>
    <w:rsid w:val="00BC2D89"/>
    <w:rsid w:val="00BD6531"/>
    <w:rsid w:val="00BE05B2"/>
    <w:rsid w:val="00BF1908"/>
    <w:rsid w:val="00BF7F3B"/>
    <w:rsid w:val="00C22D93"/>
    <w:rsid w:val="00C31120"/>
    <w:rsid w:val="00C3146A"/>
    <w:rsid w:val="00C34482"/>
    <w:rsid w:val="00C43648"/>
    <w:rsid w:val="00C50A9F"/>
    <w:rsid w:val="00C53EB8"/>
    <w:rsid w:val="00C642FA"/>
    <w:rsid w:val="00C65565"/>
    <w:rsid w:val="00CC7622"/>
    <w:rsid w:val="00CD608F"/>
    <w:rsid w:val="00D27982"/>
    <w:rsid w:val="00D33B86"/>
    <w:rsid w:val="00D53924"/>
    <w:rsid w:val="00D55D0C"/>
    <w:rsid w:val="00D627CF"/>
    <w:rsid w:val="00D74378"/>
    <w:rsid w:val="00D96D8C"/>
    <w:rsid w:val="00DA6649"/>
    <w:rsid w:val="00DC1259"/>
    <w:rsid w:val="00DC1BD2"/>
    <w:rsid w:val="00DC2571"/>
    <w:rsid w:val="00DC487C"/>
    <w:rsid w:val="00DE6BF6"/>
    <w:rsid w:val="00DF6C6B"/>
    <w:rsid w:val="00E1068A"/>
    <w:rsid w:val="00E25884"/>
    <w:rsid w:val="00E25B55"/>
    <w:rsid w:val="00E31C2B"/>
    <w:rsid w:val="00E37181"/>
    <w:rsid w:val="00E5426A"/>
    <w:rsid w:val="00E54642"/>
    <w:rsid w:val="00E80CBE"/>
    <w:rsid w:val="00E87B0D"/>
    <w:rsid w:val="00E962E3"/>
    <w:rsid w:val="00EB6C79"/>
    <w:rsid w:val="00EC37E9"/>
    <w:rsid w:val="00ED30CB"/>
    <w:rsid w:val="00F06995"/>
    <w:rsid w:val="00F13623"/>
    <w:rsid w:val="00F44D1D"/>
    <w:rsid w:val="00F84B6D"/>
    <w:rsid w:val="00FA4EAF"/>
    <w:rsid w:val="00FA5FDA"/>
    <w:rsid w:val="00FB6AB3"/>
    <w:rsid w:val="00FC14EF"/>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11A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53058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E1A82" w:rsidP="003E1A82">
          <w:pPr>
            <w:pStyle w:val="E460D38E05664FF79D4EFF282EF8EC9918"/>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2E734C"/>
    <w:rsid w:val="00334638"/>
    <w:rsid w:val="00345C9D"/>
    <w:rsid w:val="003E1A82"/>
    <w:rsid w:val="0048651F"/>
    <w:rsid w:val="00547AC6"/>
    <w:rsid w:val="00556D67"/>
    <w:rsid w:val="00793995"/>
    <w:rsid w:val="007C6F98"/>
    <w:rsid w:val="007E254A"/>
    <w:rsid w:val="008B4366"/>
    <w:rsid w:val="009133C7"/>
    <w:rsid w:val="009178E4"/>
    <w:rsid w:val="00961B27"/>
    <w:rsid w:val="009D2C7F"/>
    <w:rsid w:val="00AA7CE3"/>
    <w:rsid w:val="00B91FA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1A8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1662</Words>
  <Characters>8310</Characters>
  <Application>Microsoft Office Word</Application>
  <DocSecurity>0</DocSecurity>
  <Lines>69</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2023-07-16T10:43:00Z</cp:lastPrinted>
  <dcterms:created xsi:type="dcterms:W3CDTF">2023-07-20T11:19:00Z</dcterms:created>
  <dcterms:modified xsi:type="dcterms:W3CDTF">2023-07-20T11:19:00Z</dcterms:modified>
</cp:coreProperties>
</file>